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50654162f2c844be" /></Relationships>
</file>

<file path=word/document.xml><?xml version="1.0" encoding="utf-8"?>
<w:document xmlns:w="http://schemas.openxmlformats.org/wordprocessingml/2006/main">
  <w:body>
    <w:p>
      <w:pPr>
        <w:spacing w:before="0" w:after="40" w:line="254" w:lineRule="auto"/>
        <w:jc w:val="center"/>
      </w:pPr>
      <w:r>
        <w:rPr>
          <w:b/>
          <w:rFonts w:ascii="Calibri" w:hAnsi="Calibri"/>
          <w:sz w:val="44"/>
          <w:color w:val="1F4E79"/>
          <w:spacing w:val="30"/>
        </w:rPr>
        <w:t xml:space="preserve">[YOUR NAME]</w:t>
      </w:r>
    </w:p>
    <w:p>
      <w:pPr>
        <w:spacing w:before="0" w:after="60" w:line="254" w:lineRule="auto"/>
      </w:pPr>
      <w:r>
        <w:rPr>
          <w:rFonts w:ascii="Calibri" w:hAnsi="Calibri"/>
          <w:sz w:val="22"/>
          <w:color w:val="1A1A1A"/>
        </w:rPr>
        <w:t xml:space="preserve">[City, State] · [email@example.com] · [phone] · [linkedin.com/in/you]</w:t>
      </w:r>
    </w:p>
    <w:p>
      <w:pPr>
        <w:spacing w:before="200" w:after="80" w:line="254" w:lineRule="auto"/>
        <w:pBdr>
          <w:bottom w:val="single" w:color="BFBFBF" w:sz="6" w:space="2"/>
        </w:pBdr>
      </w:pPr>
      <w:r>
        <w:rPr>
          <w:b/>
          <w:rFonts w:ascii="Calibri" w:hAnsi="Calibri"/>
          <w:sz w:val="24"/>
          <w:color w:val="1F4E79"/>
        </w:rPr>
        <w:t xml:space="preserve">PROFESSIONAL SUMMARY</w:t>
      </w:r>
    </w:p>
    <w:p>
      <w:pPr>
        <w:spacing w:before="0" w:after="60" w:line="254" w:lineRule="auto"/>
      </w:pPr>
      <w:r>
        <w:rPr>
          <w:rFonts w:ascii="Calibri" w:hAnsi="Calibri"/>
          <w:sz w:val="22"/>
          <w:color w:val="1A1A1A"/>
        </w:rPr>
        <w:t xml:space="preserve">Results-driven Account Executive with 6+ years of experience managing the full sales cycle from prospecting through close across mid-market and enterprise segments. Proven track record in new client acquisition, consultative selling, and territory planning that consistently exceeds quota. Skilled at managing complex sales cycles, building lasting relationships with key stakeholders, and identifying cross-sell and upsell opportunities that expand account value. Brings a client-centric approach, strong emotional intelligence, and the cross-functional collaboration skills needed to align internal teams around customer outcomes.</w:t>
      </w:r>
    </w:p>
    <w:p>
      <w:pPr>
        <w:spacing w:before="200" w:after="80" w:line="254" w:lineRule="auto"/>
        <w:pBdr>
          <w:bottom w:val="single" w:color="BFBFBF" w:sz="6" w:space="2"/>
        </w:pBdr>
      </w:pPr>
      <w:r>
        <w:rPr>
          <w:b/>
          <w:rFonts w:ascii="Calibri" w:hAnsi="Calibri"/>
          <w:sz w:val="24"/>
          <w:color w:val="1F4E79"/>
        </w:rPr>
        <w:t xml:space="preserve">KEY SKILLS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Full Sales Cycle Management (Prospecting through Close)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Pipeline Management &amp; Sales Planning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Consultative Selling &amp; Discovery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Territory Planning &amp; New Client Acquisition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Account Management &amp; Account Ownership</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Qualification &amp; Discovery Frameworks (MEDDIC, SPIN)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Cross-Sell / Upsell Strategy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Proposals &amp; Estimates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Stakeholder Management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Relationship Management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Salesforce CRM</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HubSpot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Cross-Functional Collaboration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Emotional Intelligence &amp; Client-Centric Approach</w:t>
      </w:r>
    </w:p>
    <w:p>
      <w:pPr>
        <w:spacing w:before="200" w:after="80" w:line="254" w:lineRule="auto"/>
        <w:pBdr>
          <w:bottom w:val="single" w:color="BFBFBF" w:sz="6" w:space="2"/>
        </w:pBdr>
      </w:pPr>
      <w:r>
        <w:rPr>
          <w:b/>
          <w:rFonts w:ascii="Calibri" w:hAnsi="Calibri"/>
          <w:sz w:val="24"/>
          <w:color w:val="1F4E79"/>
        </w:rPr>
        <w:t xml:space="preserve">PROFESSIONAL EXPERIENCE</w:t>
      </w:r>
    </w:p>
    <w:p>
      <w:pPr>
        <w:spacing w:before="120" w:after="20" w:line="254" w:lineRule="auto"/>
      </w:pPr>
      <w:r>
        <w:rPr>
          <w:b/>
          <w:rFonts w:ascii="Calibri" w:hAnsi="Calibri"/>
          <w:sz w:val="22"/>
          <w:color w:val="1A1A1A"/>
        </w:rPr>
        <w:t xml:space="preserve">Account Executive — Regional B2B Technology Solutions Provider (2021–Present)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Own the full sales cycle across an assigned territory of 120+ mid-market accounts, consistently achieving 108–115% of annual quota ranging from $1.2M to $1.5M</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Drive new client acquisition through multi-channel prospecting (cold outreach, referrals, events), adding an average of 18 net-new logos per year</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Conduct in-depth qualification and discovery sessions to uncover business pain points, enabling a consultative selling approach that shortens average deal cycles by approximately 20%</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Manage a sales pipeline of 60–80 active opportunities in Salesforce, maintaining accurate forecasting and stage hygiene that reduced forecast variance to under 8%</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Develop tailored proposals and estimates for complex engagements, collaborating with solutions engineering and finance teams to ensure technical and commercial alignment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Identify and execute cross-sell and upsell opportunities within existing accounts, growing average contract value by 22% year-over-year</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Partner with customer success and marketing on account planning, contributing to a 91% renewal rate across owned accounts</w:t>
      </w:r>
    </w:p>
    <w:p>
      <w:pPr>
        <w:spacing w:before="120" w:after="20" w:line="254" w:lineRule="auto"/>
      </w:pPr>
      <w:r>
        <w:rPr>
          <w:b/>
          <w:rFonts w:ascii="Calibri" w:hAnsi="Calibri"/>
          <w:sz w:val="22"/>
          <w:color w:val="1A1A1A"/>
        </w:rPr>
        <w:t xml:space="preserve">Account Executive — Series-B SaaS Company (2019–2021)</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Managed complex sales cycles averaging 60–90 days across SMB and lower mid-market segments, closing an average of $480K in new ARR annually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Built and maintained a healthy pipeline using HubSpot, tracking all prospect activity, deal stages, and follow-up cadences to ensure consistent pipeline velocity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Executed structured territory planning each quarter, prioritizing high-fit accounts through ICP scoring and intent data signals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Led stakeholder management across multi-threaded deals, engaging economic buyers, end users, and IT decision-makers simultaneously to accelerate consensus and close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Collaborated cross-functionally with product and marketing teams to relay field insights, contributing to two feature updates that improved win rates in a key vertical by 14%</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Delivered consultative demos and solution presentations that achieved a 38% demo-to-proposal conversion rate, above the team average of 27%</w:t>
      </w:r>
    </w:p>
    <w:p>
      <w:pPr>
        <w:spacing w:before="120" w:after="20" w:line="254" w:lineRule="auto"/>
      </w:pPr>
      <w:r>
        <w:rPr>
          <w:b/>
          <w:rFonts w:ascii="Calibri" w:hAnsi="Calibri"/>
          <w:sz w:val="22"/>
          <w:color w:val="1A1A1A"/>
        </w:rPr>
        <w:t xml:space="preserve">Sales Development Representative — National Professional Services Firm (2018–2019)</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Generated qualified pipeline through outbound prospecting via cold calls, email sequences, and LinkedIn outreach, booking 35+ discovery meetings per month for senior AEs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Supported account executives with proposal preparation, CRM data entry in Salesforce, and competitive research to strengthen deal positioning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Promoted to Account Executive role within 11 months based on pipeline contribution and demonstrated communication and relationship-building skills</w:t>
      </w:r>
    </w:p>
    <w:p>
      <w:pPr>
        <w:spacing w:before="200" w:after="80" w:line="254" w:lineRule="auto"/>
        <w:pBdr>
          <w:bottom w:val="single" w:color="BFBFBF" w:sz="6" w:space="2"/>
        </w:pBdr>
      </w:pPr>
      <w:r>
        <w:rPr>
          <w:b/>
          <w:rFonts w:ascii="Calibri" w:hAnsi="Calibri"/>
          <w:sz w:val="24"/>
          <w:color w:val="1F4E79"/>
        </w:rPr>
        <w:t xml:space="preserve">EDUCATION</w:t>
      </w:r>
    </w:p>
    <w:p>
      <w:pPr>
        <w:spacing w:before="0" w:after="60" w:line="254" w:lineRule="auto"/>
      </w:pPr>
      <w:r>
        <w:rPr>
          <w:b/>
          <w:rFonts w:ascii="Calibri" w:hAnsi="Calibri"/>
          <w:sz w:val="22"/>
          <w:color w:val="1A1A1A"/>
        </w:rPr>
        <w:t xml:space="preserve">Bachelor of Science, Business Administration — Marketing Concentration</w:t>
      </w:r>
    </w:p>
    <w:p>
      <w:pPr>
        <w:spacing w:before="0" w:after="60" w:line="254" w:lineRule="auto"/>
      </w:pPr>
      <w:r>
        <w:rPr>
          <w:rFonts w:ascii="Calibri" w:hAnsi="Calibri"/>
          <w:sz w:val="22"/>
          <w:color w:val="1A1A1A"/>
        </w:rPr>
        <w:t xml:space="preserve">State University System</w:t>
      </w:r>
    </w:p>
    <w:sectPr>
      <w:pgSz w:w="12240" w:h="15840"/>
      <w:pgMar w:top="720" w:right="720" w:bottom="720" w:left="720" w:header="720" w:footer="720" w:gutter="0"/>
    </w:sectPr>
  </w:body>
</w:document>
</file>