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369f43d55496e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Results-driven AI Engineer with 5+ years of experience designing, building, and productionizing intelligent systems powered by Large Language Models and Generative AI. Proven track record delivering end-to-end ML solutions — from rapid prototyping through full MLOps deployment — across cloud-native environments on AWS and Google Cloud Platform. Deep expertise in Retrieval-Augmented Generation (RAG) architectures, vector embeddings, and LLM orchestration frameworks including LangChain and Hugging Face. Equally comfortable writing production-grade Python and translating complex model outputs into clear business impact for non-technical stakeholders. Self-directed collaborator who thrives in cross-functional environments and moves quickly from problem definition to deployed solution.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Languages &amp; Frameworks:</w:t>
      </w:r>
      <w:r>
        <w:rPr>
          <w:rFonts w:ascii="Calibri" w:hAnsi="Calibri"/>
          <w:sz w:val="22"/>
          <w:color w:val="1A1A1A"/>
        </w:rPr>
        <w:t xml:space="preserve"> Python, SQL, REST APIs, Microservices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LLM / GenAI:</w:t>
      </w:r>
      <w:r>
        <w:rPr>
          <w:rFonts w:ascii="Calibri" w:hAnsi="Calibri"/>
          <w:sz w:val="22"/>
          <w:color w:val="1A1A1A"/>
        </w:rPr>
        <w:t xml:space="preserve"> Large Language Models, Prompt Engineering, Retrieval-Augmented Generation (RAG), OpenAI API, Hugging Face, LangChain, Vertex AI, Gemini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Vector &amp; Search:</w:t>
      </w:r>
      <w:r>
        <w:rPr>
          <w:rFonts w:ascii="Calibri" w:hAnsi="Calibri"/>
          <w:sz w:val="22"/>
          <w:color w:val="1A1A1A"/>
        </w:rPr>
        <w:t xml:space="preserve"> Vector Embeddings, Vector Search, Pinecone, Weaviate, OpenSearch, Qdrant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ML Lifecycle:</w:t>
      </w:r>
      <w:r>
        <w:rPr>
          <w:rFonts w:ascii="Calibri" w:hAnsi="Calibri"/>
          <w:sz w:val="22"/>
          <w:color w:val="1A1A1A"/>
        </w:rPr>
        <w:t xml:space="preserve"> ML Model Development, Model Productionization, MLOps, CI/CD Pipelines, ML Lifecycle Management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Cloud &amp; Infrastructure:</w:t>
      </w:r>
      <w:r>
        <w:rPr>
          <w:rFonts w:ascii="Calibri" w:hAnsi="Calibri"/>
          <w:sz w:val="22"/>
          <w:color w:val="1A1A1A"/>
        </w:rPr>
        <w:t xml:space="preserve"> AWS, Google Cloud Platform (GCP), Azure, Kubernetes, Docker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Competencies:</w:t>
      </w:r>
      <w:r>
        <w:rPr>
          <w:rFonts w:ascii="Calibri" w:hAnsi="Calibri"/>
          <w:sz w:val="22"/>
          <w:color w:val="1A1A1A"/>
        </w:rPr>
        <w:t xml:space="preserve"> Stakeholder Management, Cross-Functional Collaboration, Rapid Prototyping, Analytical Thinking, Technical Communication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AI Engineer — Enterprise Software Company *(2022 – Present)*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Architected and deployed a production RAG pipeline using LangChain, Pinecone, and the OpenAI API, reducing average customer support resolution time by 34% and deflecting an estimated 18,000 tickets annually.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prompt engineering initiatives across three product lines, iterating on system prompts and few-shot templates that improved LLM output accuracy scores by 27% on internal evaluation benchmarks.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and maintained MLOps infrastructure on AWS (ECS, S3, SageMaker) with Docker-containerized services and CI/CD pipelines, cutting model deployment cycle time from two weeks to under two days.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Integrated Weaviate vector database for semantic document search across a 2M-document corpus, achieving sub-200ms query latency at production scale.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with product managers and business analysts to translate model performance metrics into ROI narratives, securing stakeholder buy-in for a $1.2M GenAI platform expansion.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Mentored two junior engineers on ML lifecycle best practices, vector embedding strategies, and responsible AI evaluation frameworks.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Machine Learning Engineer — Series-C Fintech Company *(2020 – 2022)*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and productionized classification and ranking models in Python using Hugging Face Transformers, improving fraud detection precision by 19% while holding recall constant.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a microservices-based model-serving layer on Google Cloud Platform (GKE / Kubernetes), supporting 40M+ daily inference requests with 99.95% uptime SLA.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Implemented vector search with OpenSearch to power a real-time transaction similarity engine, enabling analysts to surface related fraud patterns 60% faster than the previous rule-based system.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Partnered with data engineering and compliance teams to establish SQL-based feature stores and database design standards that reduced feature pipeline failures by 45%.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Presented model results and business impact summaries to C-suite stakeholders quarterly, consistently receiving commendation for clarity in explaining technical concepts to non-technical audiences.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Data Scientist — Regional Insurance Group *(2019 – 2020)*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and validated predictive models for claims triage using Python (scikit-learn, pandas), reducing manual review queue volume by 22%.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Automated model retraining workflows with Docker and basic CI/CD scripting, decreasing manual intervention effort by roughly 8 hours per sprint cycle.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Maintained and optimized SQL queries against a multi-terabyte claims database, improving reporting pipeline runtime by 40%.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Computer Science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Research University</w:t>
      </w:r>
    </w:p>
    <w:sectPr>
      <w:pgSz w:w="12240" w:h="15840"/>
      <w:pgMar w:top="720" w:right="720" w:bottom="720" w:left="720" w:header="720" w:footer="720" w:gutter="0"/>
    </w:sectPr>
  </w:body>
</w:document>
</file>