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837848f8144a23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Results-driven Cloud Engineer with 6+ years of experience designing, deploying, and optimizing scalable cloud infrastructure across AWS and Azure environments. Proven expertise in infrastructure-as-code, container orchestration, and security compliance frameworks including NIST, FedRAMP, and DoD/STIG standards. Adept at building robust CI/CD pipelines, implementing event-driven architectures, and driving operational discipline across cross-functional teams. Recognized for a delivery-focused mindset, strong stakeholder communication, and a commitment to mentoring junior engineers.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Cloud Platforms:</w:t>
      </w:r>
      <w:r>
        <w:rPr>
          <w:rFonts w:ascii="Calibri" w:hAnsi="Calibri"/>
          <w:sz w:val="22"/>
          <w:color w:val="1A1A1A"/>
        </w:rPr>
        <w:t xml:space="preserve"> AWS (EC2, S3, Lambda, VPC, IAM, CloudFormation), Microsoft Azure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Infrastructure as Code:</w:t>
      </w:r>
      <w:r>
        <w:rPr>
          <w:rFonts w:ascii="Calibri" w:hAnsi="Calibri"/>
          <w:sz w:val="22"/>
          <w:color w:val="1A1A1A"/>
        </w:rPr>
        <w:t xml:space="preserve"> Terraform, CloudFormation, Ansible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Container Orchestration:</w:t>
      </w:r>
      <w:r>
        <w:rPr>
          <w:rFonts w:ascii="Calibri" w:hAnsi="Calibri"/>
          <w:sz w:val="22"/>
          <w:color w:val="1A1A1A"/>
        </w:rPr>
        <w:t xml:space="preserve"> Kubernetes (K8s), Docker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CI/CD &amp; Automation:</w:t>
      </w:r>
      <w:r>
        <w:rPr>
          <w:rFonts w:ascii="Calibri" w:hAnsi="Calibri"/>
          <w:sz w:val="22"/>
          <w:color w:val="1A1A1A"/>
        </w:rPr>
        <w:t xml:space="preserve"> GitHub Actions, Jenkins, XL Release, PowerShell, Bash, Python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Monitoring &amp; Observability:</w:t>
      </w:r>
      <w:r>
        <w:rPr>
          <w:rFonts w:ascii="Calibri" w:hAnsi="Calibri"/>
          <w:sz w:val="22"/>
          <w:color w:val="1A1A1A"/>
        </w:rPr>
        <w:t xml:space="preserve"> Datadog, AWS CloudWatch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Security &amp; Compliance:</w:t>
      </w:r>
      <w:r>
        <w:rPr>
          <w:rFonts w:ascii="Calibri" w:hAnsi="Calibri"/>
          <w:sz w:val="22"/>
          <w:color w:val="1A1A1A"/>
        </w:rPr>
        <w:t xml:space="preserve"> DoD/STIG, NIST 800-53, FedRAMP, IAM policy management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Architecture Patterns:</w:t>
      </w:r>
      <w:r>
        <w:rPr>
          <w:rFonts w:ascii="Calibri" w:hAnsi="Calibri"/>
          <w:sz w:val="22"/>
          <w:color w:val="1A1A1A"/>
        </w:rPr>
        <w:t xml:space="preserve"> Serverless, event-driven architectures, disaster recovery design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Project &amp; Collaboration Tools:</w:t>
      </w:r>
      <w:r>
        <w:rPr>
          <w:rFonts w:ascii="Calibri" w:hAnsi="Calibri"/>
          <w:sz w:val="22"/>
          <w:color w:val="1A1A1A"/>
        </w:rPr>
        <w:t xml:space="preserve"> ServiceNow, JIRA, Confluence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Competencies:</w:t>
      </w:r>
      <w:r>
        <w:rPr>
          <w:rFonts w:ascii="Calibri" w:hAnsi="Calibri"/>
          <w:sz w:val="22"/>
          <w:color w:val="1A1A1A"/>
        </w:rPr>
        <w:t xml:space="preserve"> Cross-functional collaboration, stakeholder management, analytical thinking, mentorship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Cloud Engineer — Federal Defense Contracting Firm (2021 – Present)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Architected and maintained multi-region AWS environments using Terraform and CloudFormation, reducing infrastructure provisioning time by 45% and supporting FedRAMP High authorization across 3 production systems.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and enforced IAM policies and VPC segmentation strategies aligned with DoD/STIG and NIST 800-53 controls, achieving zero critical findings across two consecutive annual audits.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and maintained Kubernetes clusters on AWS EKS to support containerized microservices, improving deployment frequency by 60% and reducing mean time to recovery (MTTR) by 35%.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event-driven serverless architectures using AWS Lambda and SNS/SQS, eliminating legacy batch processes and cutting operational overhead by approximately 20 hours per week.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Implemented CI/CD pipelines via GitHub Actions and Jenkins, enabling automated testing and deployment for 12+ application teams and reducing release cycle times from two weeks to under two days.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with security, DevOps, and application teams to define disaster recovery runbooks and conduct quarterly DR exercises, achieving an RTO of under 4 hours for critical workloads.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Mentored a team of 4 junior cloud engineers through structured code reviews, pair programming sessions, and internal knowledge-sharing workshops.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Cloud Infrastructure Engineer — Mid-Market Financial Services Company (2018 – 2021)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Migrated 30+ on-premises workloads to AWS and Azure using Terraform and Ansible automation, reducing infrastructure costs by approximately $280,000 annually.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Configured Datadog and CloudWatch dashboards and alerting policies across hybrid cloud environments, improving incident detection time by 50% and enabling proactive capacity planning.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Automated compliance reporting and patch management workflows using Python and Bash scripts integrated with ServiceNow, reducing manual effort by 15 hours per sprint cycle.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Managed VPC architecture, security groups, and network ACLs to enforce least-privilege access principles across development, staging, and production environments.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Partnered with application owners and business stakeholders to translate technical requirements into scalable cloud solutions, consistently delivering projects on schedule and within budget.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Tracked project milestones and change management activities in JIRA and XL Release, maintaining full visibility for leadership and cross-functional stakeholders.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Junior Systems Administrator — Regional Healthcare System (2016 – 2018)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on-premises and early cloud infrastructure, gaining foundational experience with AWS services, PowerShell scripting, and HIPAA-aligned security controls.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senior engineers in deploying virtualized environments and automating routine maintenance tasks, reducing ticket resolution time by 25%.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Computer Information Systems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 — College of Engineering and Technology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Certifications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AWS Certified Solutions Architect – Associate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HashiCorp Certified: Terraform Associate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Microsoft Certified: Azure Administrator Associate (AZ-104)</w:t>
      </w:r>
    </w:p>
    <w:sectPr>
      <w:pgSz w:w="12240" w:h="15840"/>
      <w:pgMar w:top="720" w:right="720" w:bottom="720" w:left="720" w:header="720" w:footer="720" w:gutter="0"/>
    </w:sectPr>
  </w:body>
</w:document>
</file>