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02183e3617834b2f"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Detail-oriented and community-focused Code Enforcement Officer with 6+ years of experience conducting property inspections, investigating municipal code violations, and administering nuisance abatement programs across residential and commercial properties. Skilled in interpreting and applying zoning ordinances, building and plumbing codes, and property maintenance standards to protect public health, safety, and neighborhood quality. Known for combining firm, consistent enforcement with empathetic public engagement to resolve violations efficiently and maintain positive relationships with residents and property owners. Experienced in preparing thorough documentation, issuing notices of violation and abatement orders, and presenting testimony in administrative hearings and court proceedings.</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Municipal code enforcement &amp; zoning compliance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Building, plumbing &amp; property maintenance codes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Site inspections &amp; field investigations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Nuisance abatement &amp; abatement order administration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Notices of violation &amp; citation issuance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Permit review &amp; site plan review</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Case management &amp; records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Evidence gathering &amp; documentation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Testimony in hearings &amp; court proceedings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Citizen outreach &amp; public engagement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Database &amp; case management systems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Organizational skills &amp; attention to detail</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Code Enforcement Officer — Mid-Size Municipal Government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an average of 85 site inspections per month across residential, commercial, and mixed-use properties, enforcing zoning, building, plumbing, and property maintenance codes with a case closure rate exceeding 78%.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Issued notices of violation, abatement orders, and citations for infractions including unpermitted structures, unsafe conditions, overgrown vegetation, illegal dumping, and inoperable vehicles, reducing repeat violations in assigned districts by approximately 22% over two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an active caseload of 120–150 open cases simultaneously using the city's database and case management system, maintaining accurate, court-ready case files and documentation from initial complaint through final resolution.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Collaborated with the building department on permit and site plan reviews, flagging unpermitted construction and coordinating abatement actions with contractors and property owners.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Delivered testimony in municipal administrative hearings and district court on approximately 30 cases annually, presenting photographic evidence and detailed inspection records to support enforcement actions.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Conducted proactive community outreach through neighborhood meetings and one-on-one interactions with residents and property owners, increasing voluntary compliance and reducing escalated enforcement actions by 18%.</w:t>
      </w:r>
    </w:p>
    <w:p>
      <w:pPr>
        <w:spacing w:before="120" w:after="20" w:line="254" w:lineRule="auto"/>
      </w:pPr>
      <w:r>
        <w:rPr>
          <w:b/>
          <w:rFonts w:ascii="Calibri" w:hAnsi="Calibri"/>
          <w:sz w:val="22"/>
          <w:color w:val="1A1A1A"/>
        </w:rPr>
        <w:t xml:space="preserve">Junior Code Enforcement Officer — County Government Agency (2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senior officers with field investigations and property inspections, learning to apply local zoning ordinances and nuisance abatement regulations to a wide range of violation types.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Prepared written documentation, notices of violation, and case file entries in the department's records management system, ensuring accuracy and completeness for potential legal proceedings.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Responded to citizen complaints within established service-level timelines, maintaining a customer service satisfaction rating of 91% based on post-interaction surveys.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public engagement efforts at two community code compliance workshops annually, explaining municipal code requirements to residents and answering questions in a clear, approachable manner.</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in coordinating abatement actions with public works crews and contracted vendors, tracking progress and updating case management records through resolution.</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Criminal Justice / Public Administration</w:t>
      </w:r>
    </w:p>
    <w:p>
      <w:pPr>
        <w:spacing w:before="0" w:after="60" w:line="254" w:lineRule="auto"/>
      </w:pPr>
      <w:r>
        <w:rPr>
          <w:rFonts w:ascii="Calibri" w:hAnsi="Calibri"/>
          <w:sz w:val="22"/>
          <w:color w:val="1A1A1A"/>
        </w:rPr>
        <w:t xml:space="preserve">State University</w:t>
      </w:r>
    </w:p>
    <w:p>
      <w:pPr>
        <w:spacing w:before="80" w:after="80" w:line="254" w:lineRule="auto"/>
        <w:pBdr>
          <w:bottom w:val="single" w:color="BFBFBF" w:sz="6" w:space="1"/>
        </w:pBdr>
      </w:pP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Certified Code Enforcement Officer (CCEO) — American Association of Code Enforcement (AACE)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Property Maintenance &amp; Housing Inspector Certification — International Code Council (ICC)</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Zoning Inspector Certification — International Code Council (ICC)</w:t>
      </w:r>
    </w:p>
    <w:sectPr>
      <w:pgSz w:w="12240" w:h="15840"/>
      <w:pgMar w:top="720" w:right="720" w:bottom="720" w:left="720" w:header="720" w:footer="720" w:gutter="0"/>
    </w:sectPr>
  </w:body>
</w:document>
</file>