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e1346bc0d924d06" /></Relationships>
</file>

<file path=word/document.xml><?xml version="1.0" encoding="utf-8"?>
<w:document xmlns:w="http://schemas.openxmlformats.org/wordprocessingml/2006/main">
  <w:body>
    <w:p>
      <w:pPr>
        <w:spacing w:before="0" w:after="40" w:line="254" w:lineRule="auto"/>
        <w:jc w:val="center"/>
      </w:pPr>
      <w:r>
        <w:rPr>
          <w:b/>
          <w:rFonts w:ascii="Calibri" w:hAnsi="Calibri"/>
          <w:sz w:val="44"/>
          <w:color w:val="1F4E79"/>
          <w:spacing w:val="30"/>
        </w:rPr>
        <w:t xml:space="preserve">[YOUR NAME]</w:t>
      </w:r>
    </w:p>
    <w:p>
      <w:pPr>
        <w:spacing w:before="0" w:after="60" w:line="254" w:lineRule="auto"/>
      </w:pPr>
      <w:r>
        <w:rPr>
          <w:rFonts w:ascii="Calibri" w:hAnsi="Calibri"/>
          <w:sz w:val="22"/>
          <w:color w:val="1A1A1A"/>
        </w:rPr>
        <w:t xml:space="preserve">[City, State] · [email@example.com] · [phone] · [linkedin.com/in/you]</w:t>
      </w:r>
    </w:p>
    <w:p>
      <w:pPr>
        <w:spacing w:before="200" w:after="80" w:line="254" w:lineRule="auto"/>
        <w:pBdr>
          <w:bottom w:val="single" w:color="BFBFBF" w:sz="6" w:space="2"/>
        </w:pBdr>
      </w:pPr>
      <w:r>
        <w:rPr>
          <w:b/>
          <w:rFonts w:ascii="Calibri" w:hAnsi="Calibri"/>
          <w:sz w:val="24"/>
          <w:color w:val="1F4E79"/>
        </w:rPr>
        <w:t xml:space="preserve">PROFESSIONAL SUMMARY</w:t>
      </w:r>
    </w:p>
    <w:p>
      <w:pPr>
        <w:spacing w:before="0" w:after="60" w:line="254" w:lineRule="auto"/>
      </w:pPr>
      <w:r>
        <w:rPr>
          <w:rFonts w:ascii="Calibri" w:hAnsi="Calibri"/>
          <w:sz w:val="22"/>
          <w:color w:val="1A1A1A"/>
        </w:rPr>
        <w:t xml:space="preserve">Results-driven Senior Project Manager with 12+ years of progressive experience in construction management, delivering complex commercial, institutional, and mixed-use projects from pre-construction through financial closeout. Proven track record of leading cross-functional teams across large-scale new construction and renovation projects, consistently completing work on time and within budget. Skilled in end-to-end project oversight, design coordination with architects, engineers, and contractors, and stakeholder management at all organizational levels. Committed to continuous process improvement and maintaining rigorous documentation and reporting standards throughout the full project lifecycle.</w:t>
      </w:r>
    </w:p>
    <w:p>
      <w:pPr>
        <w:spacing w:before="200" w:after="80" w:line="254" w:lineRule="auto"/>
        <w:pBdr>
          <w:bottom w:val="single" w:color="BFBFBF" w:sz="6" w:space="2"/>
        </w:pBdr>
      </w:pPr>
      <w:r>
        <w:rPr>
          <w:b/>
          <w:rFonts w:ascii="Calibri" w:hAnsi="Calibri"/>
          <w:sz w:val="24"/>
          <w:color w:val="1F4E79"/>
        </w:rPr>
        <w:t xml:space="preserve">KEY SKILLS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Construction &amp; Project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Budget Development &amp; Cost Control</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Milestone Schedule Creation &amp;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Risk Management &amp; Mitigation Planning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Design Coordination (Architects, Engineers, Contractors)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Permitting &amp; Regulatory Approvals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Stakeholder &amp; Client Management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Vendor &amp; Subcontractor Oversight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Financial Closeout &amp; Reporting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End-to-End Project Oversight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Cross-Functional Team Leadership</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Documentation &amp; Status Reporting</w:t>
      </w:r>
    </w:p>
    <w:p>
      <w:pPr>
        <w:spacing w:before="200" w:after="80" w:line="254" w:lineRule="auto"/>
        <w:pBdr>
          <w:bottom w:val="single" w:color="BFBFBF" w:sz="6" w:space="2"/>
        </w:pBdr>
      </w:pPr>
      <w:r>
        <w:rPr>
          <w:b/>
          <w:rFonts w:ascii="Calibri" w:hAnsi="Calibri"/>
          <w:sz w:val="24"/>
          <w:color w:val="1F4E79"/>
        </w:rPr>
        <w:t xml:space="preserve">PROFESSIONAL EXPERIENCE</w:t>
      </w:r>
    </w:p>
    <w:p>
      <w:pPr>
        <w:spacing w:before="120" w:after="20" w:line="254" w:lineRule="auto"/>
      </w:pPr>
      <w:r>
        <w:rPr>
          <w:b/>
          <w:rFonts w:ascii="Calibri" w:hAnsi="Calibri"/>
          <w:sz w:val="22"/>
          <w:color w:val="1A1A1A"/>
        </w:rPr>
        <w:t xml:space="preserve">Senior Project Manager — Regional Commercial General Contractor (6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a portfolio of 4–6 concurrent projects ranging from $8M to $65M, including ground-up office developments and large-scale interior renovations, achieving an average schedule adherence rate of 94% across all active projects.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Developed and maintained detailed milestone schedules using CPM methodology, identifying critical path risks early and implementing mitigation strategies that reduced average schedule slippage by 18%.</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Led design coordination meetings with architects, engineers, and specialty contractors throughout schematic, design development, and construction document phases, resolving over 300 RFIs annually with minimal project impact.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Oversaw permitting and approvals processes across multiple jurisdictions, reducing average permit acquisition time by 22% through proactive agency engagement and complete submission packages.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Directed financial closeout procedures including punch list management, lien waiver collection, and final billing reconciliation, consistently closing projects within 1% of approved budget.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Delivered regular status updates and executive-level reporting to ownership groups, lenders, and municipal stakeholders, supporting informed client decision making at every project phase.</w:t>
      </w:r>
    </w:p>
    <w:p>
      <w:pPr>
        <w:spacing w:before="120" w:after="20" w:line="254" w:lineRule="auto"/>
      </w:pPr>
      <w:r>
        <w:rPr>
          <w:b/>
          <w:rFonts w:ascii="Calibri" w:hAnsi="Calibri"/>
          <w:sz w:val="22"/>
          <w:color w:val="1A1A1A"/>
        </w:rPr>
        <w:t xml:space="preserve">Project Manager — Institutional Facilities Development Organization (4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Managed $5M–$30M renovation and new construction projects for higher education and healthcare clients, overseeing full project lifecycle from programming and design through occupancy and closeout.</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Coordinated stakeholder management across internal facilities teams, end users, regulatory bodies, and external design-build partners, maintaining alignment on scope, schedule, and budget throughout all project phases.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Built and tracked project budgets totaling over $80M cumulatively, implementing monthly cost forecasting processes that improved budget accuracy by 15% organization-wide.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Championed continuous process improvement initiatives, standardizing RFI, submittal, and change order workflows that reduced administrative processing time by 25%.</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client/vendor management for contracts with 30+ subcontractors and suppliers per project, negotiating scope and pricing adjustments that yielded an average savings of 6% against original estimates.</w:t>
      </w:r>
    </w:p>
    <w:p>
      <w:pPr>
        <w:spacing w:before="120" w:after="20" w:line="254" w:lineRule="auto"/>
      </w:pPr>
      <w:r>
        <w:rPr>
          <w:b/>
          <w:rFonts w:ascii="Calibri" w:hAnsi="Calibri"/>
          <w:sz w:val="22"/>
          <w:color w:val="1A1A1A"/>
        </w:rPr>
        <w:t xml:space="preserve">Assistant Project Manager — Multi-Specialty Construction Management Firm (3 years)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Assisted senior project managers on commercial and municipal construction projects valued between $3M and $20M, gaining hands-on experience in end-to-end project oversight, scheduling, and cost tracking.</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Maintained comprehensive project documentation and reporting, including daily field reports, meeting minutes, submittal logs, and change order registers.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Coordinated with design teams and subcontractors to resolve constructability issues during pre-construction, contributing to a 10% reduction in field-generated RFIs on managed projects.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Supported risk management activities by tracking open issues logs and escalating schedule or budget threats to senior leadership with recommended corrective actions.</w:t>
      </w:r>
    </w:p>
    <w:p>
      <w:pPr>
        <w:spacing w:before="200" w:after="80" w:line="254" w:lineRule="auto"/>
        <w:pBdr>
          <w:bottom w:val="single" w:color="BFBFBF" w:sz="6" w:space="2"/>
        </w:pBdr>
      </w:pPr>
      <w:r>
        <w:rPr>
          <w:b/>
          <w:rFonts w:ascii="Calibri" w:hAnsi="Calibri"/>
          <w:sz w:val="24"/>
          <w:color w:val="1F4E79"/>
        </w:rPr>
        <w:t xml:space="preserve">EDUCATION</w:t>
      </w:r>
    </w:p>
    <w:p>
      <w:pPr>
        <w:spacing w:before="0" w:after="60" w:line="254" w:lineRule="auto"/>
      </w:pPr>
      <w:r>
        <w:rPr>
          <w:b/>
          <w:rFonts w:ascii="Calibri" w:hAnsi="Calibri"/>
          <w:sz w:val="22"/>
          <w:color w:val="1A1A1A"/>
        </w:rPr>
        <w:t xml:space="preserve">Bachelor of Science, Construction Management</w:t>
      </w:r>
    </w:p>
    <w:p>
      <w:pPr>
        <w:spacing w:before="0" w:after="60" w:line="254" w:lineRule="auto"/>
      </w:pPr>
      <w:r>
        <w:rPr>
          <w:rFonts w:ascii="Calibri" w:hAnsi="Calibri"/>
          <w:sz w:val="22"/>
          <w:color w:val="1A1A1A"/>
        </w:rPr>
        <w:t xml:space="preserve">Four-Year Public University</w:t>
      </w:r>
    </w:p>
    <w:p>
      <w:pPr>
        <w:spacing w:before="200" w:after="80" w:line="254" w:lineRule="auto"/>
        <w:pBdr>
          <w:bottom w:val="single" w:color="BFBFBF" w:sz="6" w:space="2"/>
        </w:pBdr>
      </w:pPr>
      <w:r>
        <w:rPr>
          <w:b/>
          <w:rFonts w:ascii="Calibri" w:hAnsi="Calibri"/>
          <w:sz w:val="24"/>
          <w:color w:val="1F4E79"/>
        </w:rPr>
        <w:t xml:space="preserve">CERTIFICATIONS</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Project Management Professional (PMP) — Project Management Institute</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OSHA 30-Hour Construction Safety Certification</w:t>
      </w:r>
    </w:p>
    <w:p>
      <w:pPr>
        <w:spacing w:before="120" w:after="120" w:line="240" w:lineRule="atLeast"/>
        <w:tabs>
          <w:tab w:val="left" w:pos="360"/>
        </w:tabs>
        <w:ind w:left="360" w:hanging="360"/>
      </w:pPr>
      <w:r>
        <w:rPr>
          <w:rFonts w:ascii="Calibri" w:hAnsi="Calibri"/>
          <w:sz w:val="22"/>
          <w:color w:val="1A1A1A"/>
        </w:rPr>
        <w:t xml:space="preserve">•</w:t>
        <w:tab/>
      </w:r>
      <w:r>
        <w:rPr>
          <w:rFonts w:ascii="Calibri" w:hAnsi="Calibri"/>
          <w:sz w:val="22"/>
          <w:color w:val="1A1A1A"/>
        </w:rPr>
        <w:t xml:space="preserve">LEED Green Associate — U.S. Green Building Council</w:t>
      </w:r>
    </w:p>
    <w:sectPr>
      <w:pgSz w:w="12240" w:h="15840"/>
      <w:pgMar w:top="720" w:right="720" w:bottom="720" w:left="720" w:header="720" w:footer="720" w:gutter="0"/>
    </w:sectPr>
  </w:body>
</w:document>
</file>