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e62fb0cb32e4e33" /></Relationships>
</file>

<file path=word/document.xml><?xml version="1.0" encoding="utf-8"?>
<w:document xmlns:w="http://schemas.openxmlformats.org/wordprocessingml/2006/main">
  <w:body>
    <w:p>
      <w:pPr>
        <w:spacing w:before="0" w:after="40" w:line="254" w:lineRule="auto"/>
        <w:jc w:val="center"/>
      </w:pPr>
      <w:r>
        <w:rPr>
          <w:b/>
          <w:rFonts w:ascii="Calibri" w:hAnsi="Calibri"/>
          <w:sz w:val="44"/>
          <w:color w:val="1F4E79"/>
          <w:spacing w:val="30"/>
        </w:rPr>
        <w:t xml:space="preserve">[YOUR NAME]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[City, State] · [email@example.com] · [phone] · [linkedin.com/in/you]</w:t>
      </w: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PROFESSIONAL SUMMARY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Results-driven Controller with 10+ years of progressive accounting and finance experience, including 5+ years in a leadership capacity. Proven track record of strengthening internal controls, streamlining the monthly close process, and delivering accurate financial reporting in compliance with GAAP. Skilled at building and mentoring high-performing accounting teams while partnering cross-functionally with operations, sales, and executive leadership to support strategic decision-making. Experienced across the full accounting cycle — from general ledger management and revenue recognition to tax compliance and external audits — with a consistent focus on process improvement and scalable infrastructure.</w:t>
      </w: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KEY SKILLS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GAAP Compliance &amp; Financial Reporting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Monthly &amp; Year-End Close Management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Budgeting, Forecasting &amp; Cash Flow Analysis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Revenue Recognition (ASC 606)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Accounts Payable &amp; Accounts Receivable Oversight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General Ledger &amp; Fixed Assets Management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Intercompany Transactions &amp; Eliminations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Cost Accounting &amp; Variance Analysis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Tax Compliance (Federal, State &amp; Local)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Internal Controls Design &amp; Audit Readiness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Team Leadership &amp; Staff Mentoring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NetSuite | QuickBooks Online | Microsoft Excel (Advanced)</w:t>
      </w: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PROFESSIONAL EXPERIENCE</w:t>
      </w:r>
    </w:p>
    <w:p>
      <w:pPr>
        <w:spacing w:before="120" w:after="20" w:line="254" w:lineRule="auto"/>
      </w:pPr>
      <w:r>
        <w:rPr>
          <w:b/>
          <w:rFonts w:ascii="Calibri" w:hAnsi="Calibri"/>
          <w:sz w:val="22"/>
          <w:color w:val="1A1A1A"/>
        </w:rPr>
        <w:t xml:space="preserve">Controller — Mid-Market Manufacturing Company (6 years)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Directed all accounting operations for a $95M revenue manufacturer, overseeing a team of 7 across accounts payable, accounts receivable, general ledger, and cost accounting functions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Reduced monthly close cycle from 12 business days to 6 by redesigning close checklists, automating journal entry workflows in NetSuite, and establishing clear ownership across the team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Implemented a robust revenue recognition policy aligned with ASC 606, eliminating prior-period restatements and reducing audit adjustments by 80%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Managed annual budgeting and rolling forecasting processes, delivering variance analyses to the CFO and board that informed $4M in capital reallocation decisions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Strengthened internal controls framework, resulting in zero material weaknesses identified across three consecutive external audits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Oversaw fixed assets module in NetSuite, maintaining a $28M asset register with accurate depreciation schedules and capitalization policies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Led intercompany reconciliation process across three legal entities, reducing elimination errors by 65% through standardized templates and monthly review cadences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Partnered with external tax advisors to ensure timely federal, state, and local tax compliance, including sales tax filings across 14 states</w:t>
      </w:r>
    </w:p>
    <w:p>
      <w:pPr>
        <w:spacing w:before="120" w:after="20" w:line="254" w:lineRule="auto"/>
      </w:pPr>
      <w:r>
        <w:rPr>
          <w:b/>
          <w:rFonts w:ascii="Calibri" w:hAnsi="Calibri"/>
          <w:sz w:val="22"/>
          <w:color w:val="1A1A1A"/>
        </w:rPr>
        <w:t xml:space="preserve">Senior Accounting Manager — Regional Professional Services Firm (3 years)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Supervised a team of 4 accountants responsible for full-cycle accounts payable, accounts receivable, and cash flow monitoring for a $40M services organization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Migrated the company's accounting platform from QuickBooks Online to NetSuite, completing the project on time and under the $120K budget with no disruption to month-end reporting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Developed and maintained a 13-week cash flow forecast model in Excel, improving liquidity visibility and enabling leadership to optimize a $3M revolving credit facility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Designed and rolled out an internal controls training program for non-finance department heads, improving policy adherence and reducing expense report exceptions by 45%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Collaborated with HR and department leaders on annual headcount budgeting and quarterly reforecasting, serving as a key finance business partner across the organization</w:t>
      </w:r>
    </w:p>
    <w:p>
      <w:pPr>
        <w:spacing w:before="120" w:after="20" w:line="254" w:lineRule="auto"/>
      </w:pPr>
      <w:r>
        <w:rPr>
          <w:b/>
          <w:rFonts w:ascii="Calibri" w:hAnsi="Calibri"/>
          <w:sz w:val="22"/>
          <w:color w:val="1A1A1A"/>
        </w:rPr>
        <w:t xml:space="preserve">Staff Accountant → Senior Accountant — Regional Distribution Company (3 years)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Supported monthly close activities including journal entries, account reconciliations, and general ledger maintenance for a $25M wholesale distributor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Assisted with preparation of financial reporting packages distributed to ownership and lenders on a monthly basis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Maintained fixed assets schedules and coordinated with operations on capital expenditure tracking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Contributed to year-end audit preparation, compiling supporting schedules and responding to auditor inquiries with minimal review notes</w:t>
      </w: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EDUCATION</w:t>
      </w:r>
    </w:p>
    <w:p>
      <w:pPr>
        <w:spacing w:before="0" w:after="60" w:line="254" w:lineRule="auto"/>
      </w:pPr>
      <w:r>
        <w:rPr>
          <w:b/>
          <w:rFonts w:ascii="Calibri" w:hAnsi="Calibri"/>
          <w:sz w:val="22"/>
          <w:color w:val="1A1A1A"/>
        </w:rPr>
        <w:t xml:space="preserve">Bachelor of Science in Accounting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State University — College of Business</w:t>
      </w:r>
    </w:p>
    <w:p>
      <w:pPr>
        <w:spacing w:before="0" w:after="60" w:line="254" w:lineRule="auto"/>
      </w:pPr>
      <w:r>
        <w:rPr>
          <w:b/>
          <w:rFonts w:ascii="Calibri" w:hAnsi="Calibri"/>
          <w:sz w:val="22"/>
          <w:color w:val="1A1A1A"/>
        </w:rPr>
        <w:t xml:space="preserve">Master of Science in Accounting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Regional Private University</w:t>
      </w: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CERTIFICATIONS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Certified Public Accountant (CPA)</w:t>
      </w:r>
    </w:p>
    <w:sectPr>
      <w:pgSz w:w="12240" w:h="15840"/>
      <w:pgMar w:top="720" w:right="720" w:bottom="720" w:left="720" w:header="720" w:footer="720" w:gutter="0"/>
    </w:sectPr>
  </w:body>
</w:document>
</file>