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bda80689a764c2d"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Database Administrator with 8+ years of experience managing enterprise-scale relational database environments across SQL Server, Oracle, MySQL, and PostgreSQL platforms. Proven track record in performance tuning, query optimization, backup and recovery planning, and high availability architecture. Skilled at designing and implementing disaster recovery strategies, automating routine DBA tasks through Python and Shell scripting, and migrating workloads to cloud databases including Azure SQL Database and AWS RDS/Aurora. Collaborative team contributor who communicates complex technical concepts clearly to stakeholders at all levels and thrives with minimal supervision in fast-paced, multi-platform environments.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Database Platforms:</w:t>
      </w:r>
      <w:r>
        <w:rPr>
          <w:rFonts w:ascii="Calibri" w:hAnsi="Calibri"/>
          <w:sz w:val="22"/>
          <w:color w:val="1A1A1A"/>
        </w:rPr>
        <w:t xml:space="preserve"> SQL Server, Oracle, MySQL, PostgreSQL, DB2, Sybase ASE/IQ</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Cloud Databases:</w:t>
      </w:r>
      <w:r>
        <w:rPr>
          <w:rFonts w:ascii="Calibri" w:hAnsi="Calibri"/>
          <w:sz w:val="22"/>
          <w:color w:val="1A1A1A"/>
        </w:rPr>
        <w:t xml:space="preserve"> Azure SQL Database, AWS RDS/Aurora</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Administration:</w:t>
      </w:r>
      <w:r>
        <w:rPr>
          <w:rFonts w:ascii="Calibri" w:hAnsi="Calibri"/>
          <w:sz w:val="22"/>
          <w:color w:val="1A1A1A"/>
        </w:rPr>
        <w:t xml:space="preserve"> SQL Server Administration, Oracle Database Administration, RHEL Linux Administration</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Reliability &amp; Recovery:</w:t>
      </w:r>
      <w:r>
        <w:rPr>
          <w:rFonts w:ascii="Calibri" w:hAnsi="Calibri"/>
          <w:sz w:val="22"/>
          <w:color w:val="1A1A1A"/>
        </w:rPr>
        <w:t xml:space="preserve"> Backup &amp; Recovery, Disaster Recovery Planning, High Availability / Clustering (HA/AG)</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Performance:</w:t>
      </w:r>
      <w:r>
        <w:rPr>
          <w:rFonts w:ascii="Calibri" w:hAnsi="Calibri"/>
          <w:sz w:val="22"/>
          <w:color w:val="1A1A1A"/>
        </w:rPr>
        <w:t xml:space="preserve"> Performance Tuning, Query Optimization, Index Management</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Data Movement:</w:t>
      </w:r>
      <w:r>
        <w:rPr>
          <w:rFonts w:ascii="Calibri" w:hAnsi="Calibri"/>
          <w:sz w:val="22"/>
          <w:color w:val="1A1A1A"/>
        </w:rPr>
        <w:t xml:space="preserve"> Data Migrations, ETL Processes</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Automation &amp; DevOps:</w:t>
      </w:r>
      <w:r>
        <w:rPr>
          <w:rFonts w:ascii="Calibri" w:hAnsi="Calibri"/>
          <w:sz w:val="22"/>
          <w:color w:val="1A1A1A"/>
        </w:rPr>
        <w:t xml:space="preserve"> Python, Shell Scripting, Terraform, Git, CI/CD Pipelines</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Tooling:</w:t>
      </w:r>
      <w:r>
        <w:rPr>
          <w:rFonts w:ascii="Calibri" w:hAnsi="Calibri"/>
          <w:sz w:val="22"/>
          <w:color w:val="1A1A1A"/>
        </w:rPr>
        <w:t xml:space="preserve"> SSMS, ER Studio, Autosys, Dynatrace</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Competencies:</w:t>
      </w:r>
      <w:r>
        <w:rPr>
          <w:rFonts w:ascii="Calibri" w:hAnsi="Calibri"/>
          <w:sz w:val="22"/>
          <w:color w:val="1A1A1A"/>
        </w:rPr>
        <w:t xml:space="preserve"> Troubleshooting, Documentation, Mentoring, Stakeholder Management, Continuous Improvement</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Senior Database Administrator — Large Financial Services Firm (5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Administered 120+ SQL Server, Oracle, and PostgreSQL instances across on-premises and Azure SQL Database environments, maintaining 99.98% uptime for mission-critical workloads.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Designed and implemented Always On Availability Groups and Oracle RAC clustering solutions, reducing unplanned downtime by 65% and meeting aggressive RTO/RPO targets for disaster recovery.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a phased data migration of 40+ legacy databases from on-premises SQL Server to AWS RDS/Aurora, completing the project 3 weeks ahead of schedule with zero data loss.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Optimized over 300 underperforming queries and tuned indexes across OLTP and reporting databases, reducing average query execution time by 52% and cutting peak CPU utilization by 30%.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Developed Python and Shell automation scripts to streamline backup validation, space monitoring, and routine maintenance jobs scheduled through Autosys, saving approximately 15 hours of manual DBA effort per week.</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Authored and maintained comprehensive runbooks, disaster recovery playbooks, and change management documentation adopted as team standards.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Mentored two junior DBAs, conducting bi-weekly knowledge-sharing sessions on performance tuning and HA architecture best practices.</w:t>
      </w:r>
    </w:p>
    <w:p>
      <w:pPr>
        <w:spacing w:before="120" w:after="20" w:line="254" w:lineRule="auto"/>
      </w:pPr>
      <w:r>
        <w:rPr>
          <w:b/>
          <w:rFonts w:ascii="Calibri" w:hAnsi="Calibri"/>
          <w:sz w:val="22"/>
          <w:color w:val="1A1A1A"/>
        </w:rPr>
        <w:t xml:space="preserve">Database Administrator — Regional Healthcare System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SQL Server and MySQL database environments supporting 20+ clinical and administrative applications serving 5,000+ end users across multiple facilities.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Implemented a standardized backup and recovery framework using native SQL Server tools and custom Shell scripts, reducing recovery time during incidents by 40%.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Partnered with application and ETL development teams to design and optimize data pipelines, improving nightly batch processing throughput by 35%.</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Deployed Terraform-based infrastructure-as-code templates to provision and configure Azure SQL Database instances, reducing environment build time from days to under 2 hours.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Monitored database health and performance using Dynatrace dashboards, proactively identifying and resolving bottlenecks before user impact.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with security and compliance teams to enforce role-based access controls and audit logging across all database environments, supporting HIPAA compliance audits with no findings.</w:t>
      </w:r>
    </w:p>
    <w:p>
      <w:pPr>
        <w:spacing w:before="120" w:after="20" w:line="254" w:lineRule="auto"/>
      </w:pPr>
      <w:r>
        <w:rPr>
          <w:b/>
          <w:rFonts w:ascii="Calibri" w:hAnsi="Calibri"/>
          <w:sz w:val="22"/>
          <w:color w:val="1A1A1A"/>
        </w:rPr>
        <w:t xml:space="preserve">Junior Database Administrator — Mid-Size Retail Technology Company (1 year)</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day-to-day administration of SQL Server and MySQL databases, including patching, user management, and backup monitoring.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senior DBAs in performing data migrations and schema changes using SSMS and ER Studio, contributing to two major application upgrade projects.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Wrote basic Python scripts to automate repetitive reporting tasks, reducing manual effort by approximately 5 hours per week.</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Computer Information Systems</w:t>
      </w:r>
    </w:p>
    <w:p>
      <w:pPr>
        <w:spacing w:before="0" w:after="60" w:line="254" w:lineRule="auto"/>
      </w:pPr>
      <w:r>
        <w:rPr>
          <w:rFonts w:ascii="Calibri" w:hAnsi="Calibri"/>
          <w:sz w:val="22"/>
          <w:color w:val="1A1A1A"/>
        </w:rPr>
        <w:t xml:space="preserve">State University</w:t>
      </w:r>
    </w:p>
    <w:sectPr>
      <w:pgSz w:w="12240" w:h="15840"/>
      <w:pgMar w:top="720" w:right="720" w:bottom="720" w:left="720" w:header="720" w:footer="720" w:gutter="0"/>
    </w:sectPr>
  </w:body>
</w:document>
</file>