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Types>
</file>

<file path=_rels/.rels>&#65279;<?xml version="1.0" encoding="utf-8"?><Relationships xmlns="http://schemas.openxmlformats.org/package/2006/relationships"><Relationship Type="http://schemas.openxmlformats.org/officeDocument/2006/relationships/officeDocument" Target="/word/document.xml" Id="R9dcc7be64059443f" /></Relationships>
</file>

<file path=word/document.xml><?xml version="1.0" encoding="utf-8"?>
<w:document xmlns:w="http://schemas.openxmlformats.org/wordprocessingml/2006/main">
  <w:body>
    <w:p>
      <w:pPr>
        <w:spacing w:before="0" w:after="40" w:line="254" w:lineRule="auto"/>
        <w:jc w:val="center"/>
      </w:pPr>
      <w:r>
        <w:rPr>
          <w:b/>
          <w:rFonts w:ascii="Calibri" w:hAnsi="Calibri"/>
          <w:sz w:val="44"/>
          <w:color w:val="1F4E79"/>
          <w:spacing w:val="30"/>
        </w:rPr>
        <w:t xml:space="preserve">[YOUR NAME]</w:t>
      </w:r>
    </w:p>
    <w:p>
      <w:pPr>
        <w:spacing w:before="0" w:after="60" w:line="254" w:lineRule="auto"/>
      </w:pPr>
      <w:r>
        <w:rPr>
          <w:rFonts w:ascii="Calibri" w:hAnsi="Calibri"/>
          <w:sz w:val="22"/>
          <w:color w:val="1A1A1A"/>
        </w:rPr>
        <w:t xml:space="preserve">[City, State] · [email@example.com] · [phone] · [linkedin.com/in/you]</w:t>
      </w:r>
    </w:p>
    <w:p>
      <w:pPr>
        <w:spacing w:before="200" w:after="80" w:line="254" w:lineRule="auto"/>
        <w:pBdr>
          <w:bottom w:val="single" w:color="BFBFBF" w:sz="6" w:space="2"/>
        </w:pBdr>
      </w:pPr>
      <w:r>
        <w:rPr>
          <w:b/>
          <w:rFonts w:ascii="Calibri" w:hAnsi="Calibri"/>
          <w:sz w:val="24"/>
          <w:color w:val="1F4E79"/>
        </w:rPr>
        <w:t xml:space="preserve">PROFESSIONAL SUMMARY</w:t>
      </w:r>
    </w:p>
    <w:p>
      <w:pPr>
        <w:spacing w:before="0" w:after="60" w:line="254" w:lineRule="auto"/>
      </w:pPr>
      <w:r>
        <w:rPr>
          <w:rFonts w:ascii="Calibri" w:hAnsi="Calibri"/>
          <w:sz w:val="22"/>
          <w:color w:val="1A1A1A"/>
        </w:rPr>
        <w:t xml:space="preserve">Results-driven Database Administrator with 8+ years of experience managing enterprise-scale relational database environments across SQL Server, Oracle, MySQL, and PostgreSQL platforms. Proven track record in performance tuning, query optimization, backup and recovery planning, and high availability architecture. Skilled at designing and implementing disaster recovery strategies, automating routine DBA tasks through Python and Shell scripting, and migrating workloads to cloud databases including Azure SQL Database and AWS RDS/Aurora. Collaborative team contributor who communicates complex technical concepts clearly to stakeholders at all levels and thrives with minimal supervision in fast-paced, multi-platform environments.</w:t>
      </w:r>
    </w:p>
    <w:p>
      <w:pPr>
        <w:spacing w:before="80" w:after="80" w:line="254" w:lineRule="auto"/>
        <w:pBdr>
          <w:bottom w:val="single" w:color="BFBFBF" w:sz="6" w:space="1"/>
        </w:pBdr>
      </w:pPr>
    </w:p>
    <w:p>
      <w:pPr>
        <w:spacing w:before="200" w:after="80" w:line="254" w:lineRule="auto"/>
        <w:pBdr>
          <w:bottom w:val="single" w:color="BFBFBF" w:sz="6" w:space="2"/>
        </w:pBdr>
      </w:pPr>
      <w:r>
        <w:rPr>
          <w:b/>
          <w:rFonts w:ascii="Calibri" w:hAnsi="Calibri"/>
          <w:sz w:val="24"/>
          <w:color w:val="1F4E79"/>
        </w:rPr>
        <w:t xml:space="preserve">KEY SKILLS</w:t>
      </w:r>
    </w:p>
    <w:p>
      <w:pPr>
        <w:spacing w:before="120" w:after="120" w:line="240" w:lineRule="atLeast"/>
        <w:tabs>
          <w:tab w:val="left" w:pos="360"/>
        </w:tabs>
        <w:ind w:left="360" w:hanging="360"/>
      </w:pPr>
      <w:r>
        <w:rPr>
          <w:rFonts w:ascii="Calibri" w:hAnsi="Calibri"/>
          <w:sz w:val="22"/>
          <w:color w:val="1A1A1A"/>
        </w:rPr>
        <w:t xml:space="preserve">•</w:t>
        <w:tab/>
      </w:r>
      <w:r>
        <w:rPr>
          <w:b/>
          <w:rFonts w:ascii="Calibri" w:hAnsi="Calibri"/>
          <w:sz w:val="22"/>
          <w:color w:val="1A1A1A"/>
        </w:rPr>
        <w:t xml:space="preserve">Database Platforms:</w:t>
      </w:r>
      <w:r>
        <w:rPr>
          <w:rFonts w:ascii="Calibri" w:hAnsi="Calibri"/>
          <w:sz w:val="22"/>
          <w:color w:val="1A1A1A"/>
        </w:rPr>
        <w:t xml:space="preserve"> SQL Server, Oracle, MySQL, PostgreSQL, DB2, Sybase ASE/IQ</w:t>
      </w:r>
    </w:p>
    <w:p>
      <w:pPr>
        <w:spacing w:before="120" w:after="120" w:line="240" w:lineRule="atLeast"/>
        <w:tabs>
          <w:tab w:val="left" w:pos="360"/>
        </w:tabs>
        <w:ind w:left="360" w:hanging="360"/>
      </w:pPr>
      <w:r>
        <w:rPr>
          <w:rFonts w:ascii="Calibri" w:hAnsi="Calibri"/>
          <w:sz w:val="22"/>
          <w:color w:val="1A1A1A"/>
        </w:rPr>
        <w:t xml:space="preserve">•</w:t>
        <w:tab/>
      </w:r>
      <w:r>
        <w:rPr>
          <w:b/>
          <w:rFonts w:ascii="Calibri" w:hAnsi="Calibri"/>
          <w:sz w:val="22"/>
          <w:color w:val="1A1A1A"/>
        </w:rPr>
        <w:t xml:space="preserve">Cloud Databases:</w:t>
      </w:r>
      <w:r>
        <w:rPr>
          <w:rFonts w:ascii="Calibri" w:hAnsi="Calibri"/>
          <w:sz w:val="22"/>
          <w:color w:val="1A1A1A"/>
        </w:rPr>
        <w:t xml:space="preserve"> Azure SQL Database, AWS RDS/Aurora</w:t>
      </w:r>
    </w:p>
    <w:p>
      <w:pPr>
        <w:spacing w:before="120" w:after="120" w:line="240" w:lineRule="atLeast"/>
        <w:tabs>
          <w:tab w:val="left" w:pos="360"/>
        </w:tabs>
        <w:ind w:left="360" w:hanging="360"/>
      </w:pPr>
      <w:r>
        <w:rPr>
          <w:rFonts w:ascii="Calibri" w:hAnsi="Calibri"/>
          <w:sz w:val="22"/>
          <w:color w:val="1A1A1A"/>
        </w:rPr>
        <w:t xml:space="preserve">•</w:t>
        <w:tab/>
      </w:r>
      <w:r>
        <w:rPr>
          <w:b/>
          <w:rFonts w:ascii="Calibri" w:hAnsi="Calibri"/>
          <w:sz w:val="22"/>
          <w:color w:val="1A1A1A"/>
        </w:rPr>
        <w:t xml:space="preserve">Administration:</w:t>
      </w:r>
      <w:r>
        <w:rPr>
          <w:rFonts w:ascii="Calibri" w:hAnsi="Calibri"/>
          <w:sz w:val="22"/>
          <w:color w:val="1A1A1A"/>
        </w:rPr>
        <w:t xml:space="preserve"> SQL Server Administration, Oracle Database Administration, RHEL Linux Administration</w:t>
      </w:r>
    </w:p>
    <w:p>
      <w:pPr>
        <w:spacing w:before="120" w:after="120" w:line="240" w:lineRule="atLeast"/>
        <w:tabs>
          <w:tab w:val="left" w:pos="360"/>
        </w:tabs>
        <w:ind w:left="360" w:hanging="360"/>
      </w:pPr>
      <w:r>
        <w:rPr>
          <w:rFonts w:ascii="Calibri" w:hAnsi="Calibri"/>
          <w:sz w:val="22"/>
          <w:color w:val="1A1A1A"/>
        </w:rPr>
        <w:t xml:space="preserve">•</w:t>
        <w:tab/>
      </w:r>
      <w:r>
        <w:rPr>
          <w:b/>
          <w:rFonts w:ascii="Calibri" w:hAnsi="Calibri"/>
          <w:sz w:val="22"/>
          <w:color w:val="1A1A1A"/>
        </w:rPr>
        <w:t xml:space="preserve">Reliability &amp; Recovery:</w:t>
      </w:r>
      <w:r>
        <w:rPr>
          <w:rFonts w:ascii="Calibri" w:hAnsi="Calibri"/>
          <w:sz w:val="22"/>
          <w:color w:val="1A1A1A"/>
        </w:rPr>
        <w:t xml:space="preserve"> Backup &amp; Recovery, Disaster Recovery Planning, High Availability / Clustering (HA/AG)</w:t>
      </w:r>
    </w:p>
    <w:p>
      <w:pPr>
        <w:spacing w:before="120" w:after="120" w:line="240" w:lineRule="atLeast"/>
        <w:tabs>
          <w:tab w:val="left" w:pos="360"/>
        </w:tabs>
        <w:ind w:left="360" w:hanging="360"/>
      </w:pPr>
      <w:r>
        <w:rPr>
          <w:rFonts w:ascii="Calibri" w:hAnsi="Calibri"/>
          <w:sz w:val="22"/>
          <w:color w:val="1A1A1A"/>
        </w:rPr>
        <w:t xml:space="preserve">•</w:t>
        <w:tab/>
      </w:r>
      <w:r>
        <w:rPr>
          <w:b/>
          <w:rFonts w:ascii="Calibri" w:hAnsi="Calibri"/>
          <w:sz w:val="22"/>
          <w:color w:val="1A1A1A"/>
        </w:rPr>
        <w:t xml:space="preserve">Performance:</w:t>
      </w:r>
      <w:r>
        <w:rPr>
          <w:rFonts w:ascii="Calibri" w:hAnsi="Calibri"/>
          <w:sz w:val="22"/>
          <w:color w:val="1A1A1A"/>
        </w:rPr>
        <w:t xml:space="preserve"> Performance Tuning, Query Optimization, Index Management</w:t>
      </w:r>
    </w:p>
    <w:p>
      <w:pPr>
        <w:spacing w:before="120" w:after="120" w:line="240" w:lineRule="atLeast"/>
        <w:tabs>
          <w:tab w:val="left" w:pos="360"/>
        </w:tabs>
        <w:ind w:left="360" w:hanging="360"/>
      </w:pPr>
      <w:r>
        <w:rPr>
          <w:rFonts w:ascii="Calibri" w:hAnsi="Calibri"/>
          <w:sz w:val="22"/>
          <w:color w:val="1A1A1A"/>
        </w:rPr>
        <w:t xml:space="preserve">•</w:t>
        <w:tab/>
      </w:r>
      <w:r>
        <w:rPr>
          <w:b/>
          <w:rFonts w:ascii="Calibri" w:hAnsi="Calibri"/>
          <w:sz w:val="22"/>
          <w:color w:val="1A1A1A"/>
        </w:rPr>
        <w:t xml:space="preserve">Data Movement:</w:t>
      </w:r>
      <w:r>
        <w:rPr>
          <w:rFonts w:ascii="Calibri" w:hAnsi="Calibri"/>
          <w:sz w:val="22"/>
          <w:color w:val="1A1A1A"/>
        </w:rPr>
        <w:t xml:space="preserve"> Data Migrations, ETL Processes</w:t>
      </w:r>
    </w:p>
    <w:p>
      <w:pPr>
        <w:spacing w:before="120" w:after="120" w:line="240" w:lineRule="atLeast"/>
        <w:tabs>
          <w:tab w:val="left" w:pos="360"/>
        </w:tabs>
        <w:ind w:left="360" w:hanging="360"/>
      </w:pPr>
      <w:r>
        <w:rPr>
          <w:rFonts w:ascii="Calibri" w:hAnsi="Calibri"/>
          <w:sz w:val="22"/>
          <w:color w:val="1A1A1A"/>
        </w:rPr>
        <w:t xml:space="preserve">•</w:t>
        <w:tab/>
      </w:r>
      <w:r>
        <w:rPr>
          <w:b/>
          <w:rFonts w:ascii="Calibri" w:hAnsi="Calibri"/>
          <w:sz w:val="22"/>
          <w:color w:val="1A1A1A"/>
        </w:rPr>
        <w:t xml:space="preserve">Automation &amp; DevOps:</w:t>
      </w:r>
      <w:r>
        <w:rPr>
          <w:rFonts w:ascii="Calibri" w:hAnsi="Calibri"/>
          <w:sz w:val="22"/>
          <w:color w:val="1A1A1A"/>
        </w:rPr>
        <w:t xml:space="preserve"> Python, Shell Scripting, Terraform, Git, CI/CD Pipelines</w:t>
      </w:r>
    </w:p>
    <w:p>
      <w:pPr>
        <w:spacing w:before="120" w:after="120" w:line="240" w:lineRule="atLeast"/>
        <w:tabs>
          <w:tab w:val="left" w:pos="360"/>
        </w:tabs>
        <w:ind w:left="360" w:hanging="360"/>
      </w:pPr>
      <w:r>
        <w:rPr>
          <w:rFonts w:ascii="Calibri" w:hAnsi="Calibri"/>
          <w:sz w:val="22"/>
          <w:color w:val="1A1A1A"/>
        </w:rPr>
        <w:t xml:space="preserve">•</w:t>
        <w:tab/>
      </w:r>
      <w:r>
        <w:rPr>
          <w:b/>
          <w:rFonts w:ascii="Calibri" w:hAnsi="Calibri"/>
          <w:sz w:val="22"/>
          <w:color w:val="1A1A1A"/>
        </w:rPr>
        <w:t xml:space="preserve">Tooling:</w:t>
      </w:r>
      <w:r>
        <w:rPr>
          <w:rFonts w:ascii="Calibri" w:hAnsi="Calibri"/>
          <w:sz w:val="22"/>
          <w:color w:val="1A1A1A"/>
        </w:rPr>
        <w:t xml:space="preserve"> SSMS, ER Studio, Autosys, Dynatrace</w:t>
      </w:r>
    </w:p>
    <w:p>
      <w:pPr>
        <w:spacing w:before="120" w:after="120" w:line="240" w:lineRule="atLeast"/>
        <w:tabs>
          <w:tab w:val="left" w:pos="360"/>
        </w:tabs>
        <w:ind w:left="360" w:hanging="360"/>
      </w:pPr>
      <w:r>
        <w:rPr>
          <w:rFonts w:ascii="Calibri" w:hAnsi="Calibri"/>
          <w:sz w:val="22"/>
          <w:color w:val="1A1A1A"/>
        </w:rPr>
        <w:t xml:space="preserve">•</w:t>
        <w:tab/>
      </w:r>
      <w:r>
        <w:rPr>
          <w:b/>
          <w:rFonts w:ascii="Calibri" w:hAnsi="Calibri"/>
          <w:sz w:val="22"/>
          <w:color w:val="1A1A1A"/>
        </w:rPr>
        <w:t xml:space="preserve">Competencies:</w:t>
      </w:r>
      <w:r>
        <w:rPr>
          <w:rFonts w:ascii="Calibri" w:hAnsi="Calibri"/>
          <w:sz w:val="22"/>
          <w:color w:val="1A1A1A"/>
        </w:rPr>
        <w:t xml:space="preserve"> Troubleshooting, Documentation, Mentoring, Stakeholder Management, Continuous Improvement</w:t>
      </w:r>
    </w:p>
    <w:p>
      <w:pPr>
        <w:spacing w:before="80" w:after="80" w:line="254" w:lineRule="auto"/>
        <w:pBdr>
          <w:bottom w:val="single" w:color="BFBFBF" w:sz="6" w:space="1"/>
        </w:pBdr>
      </w:pPr>
    </w:p>
    <w:p>
      <w:pPr>
        <w:spacing w:before="200" w:after="80" w:line="254" w:lineRule="auto"/>
        <w:pBdr>
          <w:bottom w:val="single" w:color="BFBFBF" w:sz="6" w:space="2"/>
        </w:pBdr>
      </w:pPr>
      <w:r>
        <w:rPr>
          <w:b/>
          <w:rFonts w:ascii="Calibri" w:hAnsi="Calibri"/>
          <w:sz w:val="24"/>
          <w:color w:val="1F4E79"/>
        </w:rPr>
        <w:t xml:space="preserve">PROFESSIONAL EXPERIENCE</w:t>
      </w:r>
    </w:p>
    <w:p>
      <w:pPr>
        <w:spacing w:before="120" w:after="20" w:line="254" w:lineRule="auto"/>
      </w:pPr>
      <w:r>
        <w:rPr>
          <w:b/>
          <w:rFonts w:ascii="Calibri" w:hAnsi="Calibri"/>
          <w:sz w:val="22"/>
          <w:color w:val="1A1A1A"/>
        </w:rPr>
        <w:t xml:space="preserve">Senior Database Administrator — Large Financial Services Firm (5 years)</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Administered 120+ SQL Server, Oracle, and PostgreSQL instances across on-premises and Azure SQL Database environments, maintaining 99.98% uptime for mission-critical workloads.</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Designed and implemented Always On Availability Groups and Oracle RAC clustering solutions, reducing unplanned downtime by 65% and meeting aggressive RTO/RPO targets for disaster recovery.</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Led a phased data migration of 40+ legacy databases from on-premises SQL Server to AWS RDS/Aurora, completing the project 3 weeks ahead of schedule with zero data loss.</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Optimized over 300 underperforming queries and tuned indexes across OLTP and reporting databases, reducing average query execution time by 52% and cutting peak CPU utilization by 30%.</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Developed Python and Shell automation scripts to streamline backup validation, space monitoring, and routine maintenance jobs scheduled through Autosys, saving approximately 15 hours of manual DBA effort per week.</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Authored and maintained comprehensive runbooks, disaster recovery playbooks, and change management documentation adopted as team standards.</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Mentored two junior DBAs, conducting bi-weekly knowledge-sharing sessions on performance tuning and HA architecture best practices.</w:t>
      </w:r>
    </w:p>
    <w:p>
      <w:pPr>
        <w:spacing w:before="120" w:after="20" w:line="254" w:lineRule="auto"/>
      </w:pPr>
      <w:r>
        <w:rPr>
          <w:b/>
          <w:rFonts w:ascii="Calibri" w:hAnsi="Calibri"/>
          <w:sz w:val="22"/>
          <w:color w:val="1A1A1A"/>
        </w:rPr>
        <w:t xml:space="preserve">Database Administrator — Regional Healthcare System (3 years)</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Managed SQL Server and MySQL database environments supporting 20+ clinical and administrative applications serving 5,000+ end users across multiple facilities.</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Implemented a standardized backup and recovery framework using native SQL Server tools and custom Shell scripts, reducing recovery time during incidents by 40%.</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Partnered with application and ETL development teams to design and optimize data pipelines, improving nightly batch processing throughput by 35%.</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Deployed Terraform-based infrastructure-as-code templates to provision and configure Azure SQL Database instances, reducing environment build time from days to under 2 hours.</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Monitored database health and performance using Dynatrace dashboards, proactively identifying and resolving bottlenecks before user impact.</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Collaborated with security and compliance teams to enforce role-based access controls and audit logging across all database environments, supporting HIPAA compliance audits with no findings.</w:t>
      </w:r>
    </w:p>
    <w:p>
      <w:pPr>
        <w:spacing w:before="120" w:after="20" w:line="254" w:lineRule="auto"/>
      </w:pPr>
      <w:r>
        <w:rPr>
          <w:b/>
          <w:rFonts w:ascii="Calibri" w:hAnsi="Calibri"/>
          <w:sz w:val="22"/>
          <w:color w:val="1A1A1A"/>
        </w:rPr>
        <w:t xml:space="preserve">Junior Database Administrator — Mid-Size Retail Technology Company (1 year)</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Supported day-to-day administration of SQL Server and MySQL databases, including patching, user management, and backup monitoring.</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Assisted senior DBAs in performing data migrations and schema changes using SSMS and ER Studio, contributing to two major application upgrade projects.</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Wrote basic Python scripts to automate repetitive reporting tasks, reducing manual effort by approximately 5 hours per week.</w:t>
      </w:r>
    </w:p>
    <w:p>
      <w:pPr>
        <w:spacing w:before="80" w:after="80" w:line="254" w:lineRule="auto"/>
        <w:pBdr>
          <w:bottom w:val="single" w:color="BFBFBF" w:sz="6" w:space="1"/>
        </w:pBdr>
      </w:pPr>
    </w:p>
    <w:p>
      <w:pPr>
        <w:spacing w:before="200" w:after="80" w:line="254" w:lineRule="auto"/>
        <w:pBdr>
          <w:bottom w:val="single" w:color="BFBFBF" w:sz="6" w:space="2"/>
        </w:pBdr>
      </w:pPr>
      <w:r>
        <w:rPr>
          <w:b/>
          <w:rFonts w:ascii="Calibri" w:hAnsi="Calibri"/>
          <w:sz w:val="24"/>
          <w:color w:val="1F4E79"/>
        </w:rPr>
        <w:t xml:space="preserve">EDUCATION</w:t>
      </w:r>
    </w:p>
    <w:p>
      <w:pPr>
        <w:spacing w:before="0" w:after="60" w:line="254" w:lineRule="auto"/>
      </w:pPr>
      <w:r>
        <w:rPr>
          <w:b/>
          <w:rFonts w:ascii="Calibri" w:hAnsi="Calibri"/>
          <w:sz w:val="22"/>
          <w:color w:val="1A1A1A"/>
        </w:rPr>
        <w:t xml:space="preserve">Bachelor of Science, Computer Information Systems</w:t>
      </w:r>
    </w:p>
    <w:p>
      <w:pPr>
        <w:spacing w:before="0" w:after="60" w:line="254" w:lineRule="auto"/>
      </w:pPr>
      <w:r>
        <w:rPr>
          <w:rFonts w:ascii="Calibri" w:hAnsi="Calibri"/>
          <w:sz w:val="22"/>
          <w:color w:val="1A1A1A"/>
        </w:rPr>
        <w:t xml:space="preserve">State University</w:t>
      </w:r>
    </w:p>
    <w:sectPr>
      <w:pgSz w:w="12240" w:h="15840"/>
      <w:pgMar w:top="720" w:right="720" w:bottom="720" w:left="720" w:header="720" w:footer="720" w:gutter="0"/>
    </w:sectPr>
  </w:body>
</w:document>
</file>