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d879ec1f7d3d49bb" /></Relationships>
</file>

<file path=word/document.xml><?xml version="1.0" encoding="utf-8"?>
<w:document xmlns:w="http://schemas.openxmlformats.org/wordprocessingml/2006/main">
  <w:body>
    <w:p>
      <w:pPr>
        <w:spacing w:before="0" w:after="40" w:line="254" w:lineRule="auto"/>
        <w:jc w:val="center"/>
      </w:pPr>
      <w:r>
        <w:rPr>
          <w:b/>
          <w:rFonts w:ascii="Calibri" w:hAnsi="Calibri"/>
          <w:sz w:val="44"/>
          <w:color w:val="1F4E79"/>
          <w:spacing w:val="30"/>
        </w:rPr>
        <w:t xml:space="preserve">[YOUR NAME]</w:t>
      </w:r>
    </w:p>
    <w:p>
      <w:pPr>
        <w:spacing w:before="0" w:after="60" w:line="254" w:lineRule="auto"/>
      </w:pPr>
      <w:r>
        <w:rPr>
          <w:rFonts w:ascii="Calibri" w:hAnsi="Calibri"/>
          <w:sz w:val="22"/>
          <w:color w:val="1A1A1A"/>
        </w:rPr>
        <w:t xml:space="preserve">[City, State] · [email@example.com] · [phone] · [linkedin.com/in/you]</w:t>
      </w:r>
    </w:p>
    <w:p>
      <w:pPr>
        <w:spacing w:before="200" w:after="80" w:line="254" w:lineRule="auto"/>
        <w:pBdr>
          <w:bottom w:val="single" w:color="BFBFBF" w:sz="6" w:space="2"/>
        </w:pBdr>
      </w:pPr>
      <w:r>
        <w:rPr>
          <w:b/>
          <w:rFonts w:ascii="Calibri" w:hAnsi="Calibri"/>
          <w:sz w:val="24"/>
          <w:color w:val="1F4E79"/>
        </w:rPr>
        <w:t xml:space="preserve">PROFESSIONAL SUMMARY</w:t>
      </w:r>
    </w:p>
    <w:p>
      <w:pPr>
        <w:spacing w:before="0" w:after="60" w:line="254" w:lineRule="auto"/>
      </w:pPr>
      <w:r>
        <w:rPr>
          <w:rFonts w:ascii="Calibri" w:hAnsi="Calibri"/>
          <w:sz w:val="22"/>
          <w:color w:val="1A1A1A"/>
        </w:rPr>
        <w:t xml:space="preserve">Results-driven Electrical Engineer with 7+ years of experience spanning utility-scale substations, medium voltage distribution systems, and embedded hardware design. Proven track record in protection coordination, relay settings, and power systems analysis for installations ranging from 4kV to 345kV. Adept at bridging the gap between high-voltage field environments and hardware-level design work, including schematic capture, PCB layout, and control systems interfacing. Committed to safety and full compliance with NEC, NFPA, IEEE, and NESC standards throughout all project phases—from concept through commissioning and troubleshooting.</w:t>
      </w:r>
    </w:p>
    <w:p>
      <w:pPr>
        <w:spacing w:before="80" w:after="80" w:line="254" w:lineRule="auto"/>
        <w:pBdr>
          <w:bottom w:val="single" w:color="BFBFBF" w:sz="6" w:space="1"/>
        </w:pBdr>
      </w:pPr>
    </w:p>
    <w:p>
      <w:pPr>
        <w:spacing w:before="200" w:after="80" w:line="254" w:lineRule="auto"/>
        <w:pBdr>
          <w:bottom w:val="single" w:color="BFBFBF" w:sz="6" w:space="2"/>
        </w:pBdr>
      </w:pPr>
      <w:r>
        <w:rPr>
          <w:b/>
          <w:rFonts w:ascii="Calibri" w:hAnsi="Calibri"/>
          <w:sz w:val="24"/>
          <w:color w:val="1F4E79"/>
        </w:rPr>
        <w:t xml:space="preserve">KEY SKILLS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Protection coordination &amp; relay protection settings (SEL, GE, Schweitzer platforms)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Medium voltage (MV) systems design &amp; analysis (4kV–35kV)</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Substation engineering (high voltage, 4kV–345kV)</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Power systems analysis (load flow, short circuit, arc flash — ETAP, SKM)</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Electrical design &amp; schematic capture / design documentation</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PCB design &amp; ECAD (Altium Designer)</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Electrical hardware design, bring-up, testing &amp; validation</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Power distribution and control systems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Control systems interfacing: Ethernet, I2C, CAN bus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Installation, commissioning &amp; troubleshooting of electrical systems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NEC / NFPA 70E / IEEE / NESC compliance &amp; safety</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Vendor collaboration and technical interface management</w:t>
      </w:r>
    </w:p>
    <w:p>
      <w:pPr>
        <w:spacing w:before="80" w:after="80" w:line="254" w:lineRule="auto"/>
        <w:pBdr>
          <w:bottom w:val="single" w:color="BFBFBF" w:sz="6" w:space="1"/>
        </w:pBdr>
      </w:pPr>
    </w:p>
    <w:p>
      <w:pPr>
        <w:spacing w:before="200" w:after="80" w:line="254" w:lineRule="auto"/>
        <w:pBdr>
          <w:bottom w:val="single" w:color="BFBFBF" w:sz="6" w:space="2"/>
        </w:pBdr>
      </w:pPr>
      <w:r>
        <w:rPr>
          <w:b/>
          <w:rFonts w:ascii="Calibri" w:hAnsi="Calibri"/>
          <w:sz w:val="24"/>
          <w:color w:val="1F4E79"/>
        </w:rPr>
        <w:t xml:space="preserve">PROFESSIONAL EXPERIENCE</w:t>
      </w:r>
    </w:p>
    <w:p>
      <w:pPr>
        <w:spacing w:before="120" w:after="20" w:line="254" w:lineRule="auto"/>
      </w:pPr>
      <w:r>
        <w:rPr>
          <w:b/>
          <w:rFonts w:ascii="Calibri" w:hAnsi="Calibri"/>
          <w:sz w:val="22"/>
          <w:color w:val="1A1A1A"/>
        </w:rPr>
        <w:t xml:space="preserve">Electrical Engineer II — Investor-Owned Utility &amp; Transmission Organization (4 years)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Performed protection coordination studies and developed relay protection settings for 69kV–345kV transmission substations, reducing mis-operation incidents by 18% over a two-year period</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Engineered medium voltage (MV) distribution upgrades across 12 substations, delivering designs compliant with NESC and IEEE C37 standards and completing all projects within budget</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Led power systems analysis (short circuit, load flow, arc flash) using ETAP for a 230kV substation expansion, identifying fault-current issues that prevented an estimated $400K in equipment damage</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Collaborated with relay vendors and OEMs during technical interface reviews, streamlining equipment procurement timelines by an average of 3 weeks per project</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Authored protection and control (P&amp;C) design documentation, one-line diagrams, and wiring schematics reviewed by NERC-compliance teams with zero major findings across four audit cycles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Supported commissioning and field troubleshooting of breaker control schemes, SCADA integration, and RTU configurations at 8 high-voltage substation sites</w:t>
      </w:r>
    </w:p>
    <w:p>
      <w:pPr>
        <w:spacing w:before="120" w:after="20" w:line="254" w:lineRule="auto"/>
      </w:pPr>
      <w:r>
        <w:rPr>
          <w:b/>
          <w:rFonts w:ascii="Calibri" w:hAnsi="Calibri"/>
          <w:sz w:val="22"/>
          <w:color w:val="1A1A1A"/>
        </w:rPr>
        <w:t xml:space="preserve">Electrical Hardware Engineer — Defense &amp; Industrial Electronics Manufacturer (3 years)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Designed mixed-signal PCBs using Altium Designer for power conversion and control modules operating in harsh environments, reducing board re-spin cycles by 25% through early DFM reviews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Developed schematics and full design documentation packages for embedded control cards featuring Ethernet, I2C, and CAN bus interfaces, supporting firmware integration teams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Executed electrical hardware bring-up, testing, and validation protocols for 6 new product lines, achieving first-pass functional success on 4 of 6 designs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Ensured all hardware designs met NEC and NFPA 70 requirements; coordinated UL/CE certification submissions with third-party test labs, achieving approval within planned schedule on all submissions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Interfaced directly with contract manufacturers and component vendors to resolve BOM discrepancies and qualify alternate parts, maintaining production continuity during a global component shortage</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Contributed to power distribution and control system architecture for a ruggedized 48V DC distribution unit deployed across 200+ field installations</w:t>
      </w:r>
    </w:p>
    <w:p>
      <w:pPr>
        <w:spacing w:before="80" w:after="80" w:line="254" w:lineRule="auto"/>
        <w:pBdr>
          <w:bottom w:val="single" w:color="BFBFBF" w:sz="6" w:space="1"/>
        </w:pBdr>
      </w:pPr>
    </w:p>
    <w:p>
      <w:pPr>
        <w:spacing w:before="200" w:after="80" w:line="254" w:lineRule="auto"/>
        <w:pBdr>
          <w:bottom w:val="single" w:color="BFBFBF" w:sz="6" w:space="2"/>
        </w:pBdr>
      </w:pPr>
      <w:r>
        <w:rPr>
          <w:b/>
          <w:rFonts w:ascii="Calibri" w:hAnsi="Calibri"/>
          <w:sz w:val="24"/>
          <w:color w:val="1F4E79"/>
        </w:rPr>
        <w:t xml:space="preserve">EDUCATION</w:t>
      </w:r>
    </w:p>
    <w:p>
      <w:pPr>
        <w:spacing w:before="0" w:after="60" w:line="254" w:lineRule="auto"/>
      </w:pPr>
      <w:r>
        <w:rPr>
          <w:b/>
          <w:rFonts w:ascii="Calibri" w:hAnsi="Calibri"/>
          <w:sz w:val="22"/>
          <w:color w:val="1A1A1A"/>
        </w:rPr>
        <w:t xml:space="preserve">Bachelor of Science, Electrical Engineering</w:t>
      </w:r>
    </w:p>
    <w:p>
      <w:pPr>
        <w:spacing w:before="0" w:after="60" w:line="254" w:lineRule="auto"/>
      </w:pPr>
      <w:r>
        <w:rPr>
          <w:rFonts w:ascii="Calibri" w:hAnsi="Calibri"/>
          <w:sz w:val="22"/>
          <w:color w:val="1A1A1A"/>
        </w:rPr>
        <w:t xml:space="preserve">State Research University</w:t>
      </w:r>
    </w:p>
    <w:p>
      <w:pPr>
        <w:spacing w:before="80" w:after="80" w:line="254" w:lineRule="auto"/>
        <w:pBdr>
          <w:bottom w:val="single" w:color="BFBFBF" w:sz="6" w:space="1"/>
        </w:pBdr>
      </w:pPr>
    </w:p>
    <w:p>
      <w:pPr>
        <w:spacing w:before="0" w:after="60" w:line="254" w:lineRule="auto"/>
      </w:pPr>
      <w:r>
        <w:rPr>
          <w:b/>
          <w:rFonts w:ascii="Calibri" w:hAnsi="Calibri"/>
          <w:sz w:val="22"/>
          <w:color w:val="1A1A1A"/>
        </w:rPr>
        <w:t xml:space="preserve">Relevant Coursework: </w:t>
      </w:r>
      <w:r>
        <w:rPr>
          <w:rFonts w:ascii="Calibri" w:hAnsi="Calibri"/>
          <w:sz w:val="22"/>
          <w:color w:val="1A1A1A"/>
        </w:rPr>
        <w:t xml:space="preserve">Power Systems Analysis, Electric Machinery &amp; Drives, Electromagnetic Fields, Embedded Systems Design, Control Systems, High-Voltage Engineering</w:t>
      </w:r>
    </w:p>
    <w:sectPr>
      <w:pgSz w:w="12240" w:h="15840"/>
      <w:pgMar w:top="720" w:right="720" w:bottom="720" w:left="720" w:header="720" w:footer="720" w:gutter="0"/>
    </w:sectPr>
  </w:body>
</w:document>
</file>