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ac1e7c2fb7043fa"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Electrical Engineer with 7+ years of experience spanning utility-scale substations, medium voltage distribution systems, and embedded hardware design. Proven track record in protection coordination, relay settings, and power systems analysis for installations ranging from 4kV to 345kV. Adept at bridging the gap between high-voltage field environments and hardware-level design work, including schematic capture, PCB layout, and control systems interfacing. Committed to safety and full compliance with NEC, NFPA, IEEE, and NESC standards throughout all project phases—from concept through commissioning and troubleshooting.</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Protection coordination &amp; relay protection settings (SEL, GE, Schweitzer platforms)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Medium voltage (MV) systems design &amp; analysis (4kV–35kV)</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Substation engineering (high voltage, 4kV–345kV)</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Power systems analysis (load flow, short circuit, arc flash — ETAP, SKM)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Electrical design &amp; schematic capture / design documentation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PCB design &amp; ECAD (Altium Designer)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Electrical hardware design, bring-up, testing &amp; validation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Power distribution and control systems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Control systems interfacing: Ethernet, I2C, CAN bus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Installation, commissioning &amp; troubleshooting of electrical systems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NEC / NFPA 70E / IEEE / NESC compliance &amp; safety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Vendor collaboration and technical interface management</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Electrical Engineer II — Investor-Owned Utility &amp; Transmission Organization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protection coordination studies and developed relay protection settings for 69kV–345kV transmission substations, reducing mis-operation incidents by 18% over a two-year period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Engineered medium voltage (MV) distribution upgrades across 12 substations, delivering designs compliant with NESC and IEEE C37 standards and completing all projects within budget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power systems analysis (short circuit, load flow, arc flash) using ETAP for a 230kV substation expansion, identifying fault-current issues that prevented an estimated $400K in equipment damage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relay vendors and OEMs during technical interface reviews, streamlining equipment procurement timelines by an average of 3 weeks per project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Authored protection and control (P&amp;C) design documentation, one-line diagrams, and wiring schematics reviewed by NERC-compliance teams with zero major findings across four audit cycles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commissioning and field troubleshooting of breaker control schemes, SCADA integration, and RTU configurations at 8 high-voltage substation sites</w:t>
      </w:r>
    </w:p>
    <w:p>
      <w:pPr>
        <w:spacing w:before="120" w:after="20" w:line="254" w:lineRule="auto"/>
      </w:pPr>
      <w:r>
        <w:rPr>
          <w:b/>
          <w:rFonts w:ascii="Calibri" w:hAnsi="Calibri"/>
          <w:sz w:val="22"/>
          <w:color w:val="1A1A1A"/>
        </w:rPr>
        <w:t xml:space="preserve">Electrical Hardware Engineer — Defense &amp; Industrial Electronics Manufacturer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mixed-signal PCBs using Altium Designer for power conversion and control modules operating in harsh environments, reducing board re-spin cycles by 25% through early DFM reviews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schematics and full design documentation packages for embedded control cards featuring Ethernet, I2C, and CAN bus interfaces, supporting firmware integration teams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Executed electrical hardware bring-up, testing, and validation protocols for 6 new product lines, achieving first-pass functional success on 4 of 6 designs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Ensured all hardware designs met NEC and NFPA 70 requirements; coordinated UL/CE certification submissions with third-party test labs, achieving approval within planned schedule on all submissions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Interfaced directly with contract manufacturers and component vendors to resolve BOM discrepancies and qualify alternate parts, maintaining production continuity during a global component shortage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Contributed to power distribution and control system architecture for a ruggedized 48V DC distribution unit deployed across 200+ field installations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Electrical Engineering</w:t>
      </w:r>
    </w:p>
    <w:p>
      <w:pPr>
        <w:spacing w:before="0" w:after="60" w:line="254" w:lineRule="auto"/>
      </w:pPr>
      <w:r>
        <w:rPr>
          <w:rFonts w:ascii="Calibri" w:hAnsi="Calibri"/>
          <w:sz w:val="22"/>
          <w:color w:val="1A1A1A"/>
        </w:rPr>
        <w:t xml:space="preserve">State Research University</w:t>
      </w:r>
    </w:p>
    <w:p>
      <w:pPr>
        <w:spacing w:before="80" w:after="80" w:line="254" w:lineRule="auto"/>
        <w:pBdr>
          <w:bottom w:val="single" w:color="BFBFBF" w:sz="6" w:space="1"/>
        </w:pBdr>
      </w:pPr>
    </w:p>
    <w:p>
      <w:pPr>
        <w:spacing w:before="0" w:after="60" w:line="254" w:lineRule="auto"/>
      </w:pPr>
      <w:r>
        <w:rPr>
          <w:b/>
          <w:rFonts w:ascii="Calibri" w:hAnsi="Calibri"/>
          <w:sz w:val="22"/>
          <w:color w:val="1A1A1A"/>
        </w:rPr>
        <w:t xml:space="preserve">Relevant Coursework: </w:t>
      </w:r>
      <w:r>
        <w:rPr>
          <w:rFonts w:ascii="Calibri" w:hAnsi="Calibri"/>
          <w:sz w:val="22"/>
          <w:color w:val="1A1A1A"/>
        </w:rPr>
        <w:t xml:space="preserve">Power Systems Analysis, Electric Machinery &amp; Drives, Electromagnetic Fields, Embedded Systems Design, Control Systems, High-Voltage Engineering</w:t>
      </w:r>
    </w:p>
    <w:sectPr>
      <w:pgSz w:w="12240" w:h="15840"/>
      <w:pgMar w:top="720" w:right="720" w:bottom="720" w:left="720" w:header="720" w:footer="720" w:gutter="0"/>
    </w:sectPr>
  </w:body>
</w:document>
</file>