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60ea5519b5804bc2" /></Relationships>
</file>

<file path=word/document.xml><?xml version="1.0" encoding="utf-8"?>
<w:document xmlns:w="http://schemas.openxmlformats.org/wordprocessingml/2006/main">
  <w:body>
    <w:p>
      <w:pPr>
        <w:spacing w:before="0" w:after="40" w:line="254" w:lineRule="auto"/>
        <w:jc w:val="center"/>
      </w:pPr>
      <w:r>
        <w:rPr>
          <w:b/>
          <w:rFonts w:ascii="Calibri" w:hAnsi="Calibri"/>
          <w:sz w:val="44"/>
          <w:color w:val="1F4E79"/>
          <w:spacing w:val="30"/>
        </w:rPr>
        <w:t xml:space="preserve">[YOUR NAME]</w:t>
      </w:r>
    </w:p>
    <w:p>
      <w:pPr>
        <w:spacing w:before="0" w:after="60" w:line="254" w:lineRule="auto"/>
      </w:pPr>
      <w:r>
        <w:rPr>
          <w:rFonts w:ascii="Calibri" w:hAnsi="Calibri"/>
          <w:sz w:val="22"/>
          <w:color w:val="1A1A1A"/>
        </w:rPr>
        <w:t xml:space="preserve">[City, State] · [email@example.com] · [phone] · [linkedin.com/in/you]</w:t>
      </w:r>
    </w:p>
    <w:p>
      <w:pPr>
        <w:spacing w:before="200" w:after="80" w:line="254" w:lineRule="auto"/>
        <w:pBdr>
          <w:bottom w:val="single" w:color="BFBFBF" w:sz="6" w:space="2"/>
        </w:pBdr>
      </w:pPr>
      <w:r>
        <w:rPr>
          <w:b/>
          <w:rFonts w:ascii="Calibri" w:hAnsi="Calibri"/>
          <w:sz w:val="24"/>
          <w:color w:val="1F4E79"/>
        </w:rPr>
        <w:t xml:space="preserve">PROFESSIONAL SUMMARY</w:t>
      </w:r>
    </w:p>
    <w:p>
      <w:pPr>
        <w:spacing w:before="0" w:after="60" w:line="254" w:lineRule="auto"/>
      </w:pPr>
      <w:r>
        <w:rPr>
          <w:rFonts w:ascii="Calibri" w:hAnsi="Calibri"/>
          <w:sz w:val="22"/>
          <w:color w:val="1A1A1A"/>
        </w:rPr>
        <w:t xml:space="preserve">Results-driven Financial Controller with 10+ years of progressive accounting and finance experience delivering accurate financial reporting, strengthening internal controls, and driving process improvement across mid-size and enterprise organizations. Deep expertise in GAAP compliance, month-end close, general ledger management, and audit readiness. Proven ability to lead high-performing accounting teams, collaborate cross-functionally with operations and executive stakeholders, and translate complex financial data into actionable strategic insights. Adept at ERP implementation and optimization, cost accounting, and margin analysis to support sustainable business growth.</w:t>
      </w:r>
    </w:p>
    <w:p>
      <w:pPr>
        <w:spacing w:before="200" w:after="80" w:line="254" w:lineRule="auto"/>
        <w:pBdr>
          <w:bottom w:val="single" w:color="BFBFBF" w:sz="6" w:space="2"/>
        </w:pBdr>
      </w:pPr>
      <w:r>
        <w:rPr>
          <w:b/>
          <w:rFonts w:ascii="Calibri" w:hAnsi="Calibri"/>
          <w:sz w:val="24"/>
          <w:color w:val="1F4E79"/>
        </w:rPr>
        <w:t xml:space="preserve">KEY SKILLS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GAAP &amp; Regulatory Compliance</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Month-End / Year-End Close</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Financial Reporting &amp; Analysis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General Ledger Management</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Budgeting &amp; Forecasting</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Cash Flow Management</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Accounts Payable &amp; Accounts Receivable</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Reconciliations &amp; Variance Analysis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Internal Controls &amp; Audit Readiness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Tax Compliance</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Fixed Assets &amp; Depreciation Schedules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Cost Accounting &amp; Margin Analysis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ERP Systems Administration</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Team Leadership &amp; Mentoring</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Cross-Functional Collaboration &amp; Stakeholder Management</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Process Improvement</w:t>
      </w:r>
    </w:p>
    <w:p>
      <w:pPr>
        <w:spacing w:before="200" w:after="80" w:line="254" w:lineRule="auto"/>
        <w:pBdr>
          <w:bottom w:val="single" w:color="BFBFBF" w:sz="6" w:space="2"/>
        </w:pBdr>
      </w:pPr>
      <w:r>
        <w:rPr>
          <w:b/>
          <w:rFonts w:ascii="Calibri" w:hAnsi="Calibri"/>
          <w:sz w:val="24"/>
          <w:color w:val="1F4E79"/>
        </w:rPr>
        <w:t xml:space="preserve">PROFESSIONAL EXPERIENCE</w:t>
      </w:r>
    </w:p>
    <w:p>
      <w:pPr>
        <w:spacing w:before="120" w:after="20" w:line="254" w:lineRule="auto"/>
      </w:pPr>
      <w:r>
        <w:rPr>
          <w:b/>
          <w:rFonts w:ascii="Calibri" w:hAnsi="Calibri"/>
          <w:sz w:val="22"/>
          <w:color w:val="1A1A1A"/>
        </w:rPr>
        <w:t xml:space="preserve">Financial Controller — Multi-Site Manufacturing Company (6 years)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Owned the full month-end close cycle, reducing average close time from 12 days to 7 days through workflow redesign and ERP automation, improving timeliness of financial reporting to executive leadership.</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Managed general ledger integrity across five business units, performing complex reconciliations that identified and corrected $1.2M in misclassified expenses over a two-year period.</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Led annual budgeting process for a $95M revenue organization, coordinating with department heads to align cost center targets with strategic growth objectives.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Implemented a strengthened internal controls framework that achieved zero material findings across three consecutive external audits, significantly improving audit readiness.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Directed cost accounting and margin analysis initiatives that surfaced a 4-point gross margin improvement opportunity in a key product line, directly informing a successful pricing strategy revision.</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Oversaw fixed assets register and depreciation schedules for $28M in capital assets, ensuring GAAP-compliant treatment and accurate reporting.</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Supervised and mentored a team of six accounting professionals, conducting quarterly development reviews and reducing staff turnover by 30%.</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Partnered with operations, sales, and supply chain teams on cross-functional cash flow forecasting, maintaining a 13-week rolling cash flow model that supported $8M in working capital decisions.</w:t>
      </w:r>
    </w:p>
    <w:p>
      <w:pPr>
        <w:spacing w:before="120" w:after="20" w:line="254" w:lineRule="auto"/>
      </w:pPr>
      <w:r>
        <w:rPr>
          <w:b/>
          <w:rFonts w:ascii="Calibri" w:hAnsi="Calibri"/>
          <w:sz w:val="22"/>
          <w:color w:val="1A1A1A"/>
        </w:rPr>
        <w:t xml:space="preserve">Senior Accountant — Regional Distribution Company (4 years)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Supported month-end close and prepared consolidated financial statements in compliance with GAAP for a $40M revenue business, consistently meeting reporting deadlines.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Managed accounts payable and accounts receivable functions, overseeing a combined monthly transaction volume exceeding $6M and reducing DSO by 11 days through improved collections processes.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Assisted with tax compliance preparation, coordinating with external CPA firm to deliver accurate federal and state filings with zero late penalties over four years.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Performed monthly bank and balance sheet reconciliations, resolving discrepancies and presenting findings to the CFO with clear, concise written summaries.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Contributed to ERP migration project, mapping legacy chart of accounts to the new system and training three junior staff members on updated workflows.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Identified and implemented a process improvement to the expense reporting workflow, reducing processing time by 25% and improving data accuracy for financial reporting.</w:t>
      </w:r>
    </w:p>
    <w:p>
      <w:pPr>
        <w:spacing w:before="120" w:after="20" w:line="254" w:lineRule="auto"/>
      </w:pPr>
      <w:r>
        <w:rPr>
          <w:b/>
          <w:rFonts w:ascii="Calibri" w:hAnsi="Calibri"/>
          <w:sz w:val="22"/>
          <w:color w:val="1A1A1A"/>
        </w:rPr>
        <w:t xml:space="preserve">Staff Accountant — Regional Professional Services Firm (2 years)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Maintained general ledger entries and assisted with month-end close procedures under senior accountant supervision.</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Prepared accounts payable aging reports and supported vendor reconciliations for a portfolio of 200+ active vendors.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Assisted in compiling supporting documentation for annual audits, contributing to successful audit readiness outcomes.</w:t>
      </w:r>
    </w:p>
    <w:p>
      <w:pPr>
        <w:spacing w:before="200" w:after="80" w:line="254" w:lineRule="auto"/>
        <w:pBdr>
          <w:bottom w:val="single" w:color="BFBFBF" w:sz="6" w:space="2"/>
        </w:pBdr>
      </w:pPr>
      <w:r>
        <w:rPr>
          <w:b/>
          <w:rFonts w:ascii="Calibri" w:hAnsi="Calibri"/>
          <w:sz w:val="24"/>
          <w:color w:val="1F4E79"/>
        </w:rPr>
        <w:t xml:space="preserve">EDUCATION</w:t>
      </w:r>
    </w:p>
    <w:p>
      <w:pPr>
        <w:spacing w:before="0" w:after="60" w:line="254" w:lineRule="auto"/>
      </w:pPr>
      <w:r>
        <w:rPr>
          <w:b/>
          <w:rFonts w:ascii="Calibri" w:hAnsi="Calibri"/>
          <w:sz w:val="22"/>
          <w:color w:val="1A1A1A"/>
        </w:rPr>
        <w:t xml:space="preserve">Bachelor of Science, Accounting</w:t>
      </w:r>
    </w:p>
    <w:p>
      <w:pPr>
        <w:spacing w:before="0" w:after="60" w:line="254" w:lineRule="auto"/>
      </w:pPr>
      <w:r>
        <w:rPr>
          <w:rFonts w:ascii="Calibri" w:hAnsi="Calibri"/>
          <w:sz w:val="22"/>
          <w:color w:val="1A1A1A"/>
        </w:rPr>
        <w:t xml:space="preserve">State University — College of Business</w:t>
      </w:r>
    </w:p>
    <w:p>
      <w:pPr>
        <w:spacing w:before="200" w:after="80" w:line="254" w:lineRule="auto"/>
        <w:pBdr>
          <w:bottom w:val="single" w:color="BFBFBF" w:sz="6" w:space="2"/>
        </w:pBdr>
      </w:pPr>
      <w:r>
        <w:rPr>
          <w:b/>
          <w:rFonts w:ascii="Calibri" w:hAnsi="Calibri"/>
          <w:sz w:val="24"/>
          <w:color w:val="1F4E79"/>
        </w:rPr>
        <w:t xml:space="preserve">CERTIFICATIONS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Certified Public Accountant (CPA)</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Certified Management Accountant (CMA)</w:t>
      </w:r>
    </w:p>
    <w:sectPr>
      <w:pgSz w:w="12240" w:h="15840"/>
      <w:pgMar w:top="720" w:right="720" w:bottom="720" w:left="720" w:header="720" w:footer="720" w:gutter="0"/>
    </w:sectPr>
  </w:body>
</w:document>
</file>