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99b83c8b12df430d" /></Relationships>
</file>

<file path=word/document.xml><?xml version="1.0" encoding="utf-8"?>
<w:document xmlns:w="http://schemas.openxmlformats.org/wordprocessingml/2006/main">
  <w:body>
    <w:p>
      <w:pPr>
        <w:spacing w:before="0" w:after="40" w:line="254" w:lineRule="auto"/>
        <w:jc w:val="center"/>
      </w:pPr>
      <w:r>
        <w:rPr>
          <w:b/>
          <w:rFonts w:ascii="Calibri" w:hAnsi="Calibri"/>
          <w:sz w:val="44"/>
          <w:color w:val="1F4E79"/>
          <w:spacing w:val="30"/>
        </w:rPr>
        <w:t xml:space="preserve">[YOUR NAME]</w:t>
      </w:r>
    </w:p>
    <w:p>
      <w:pPr>
        <w:spacing w:before="0" w:after="60" w:line="254" w:lineRule="auto"/>
      </w:pPr>
      <w:r>
        <w:rPr>
          <w:rFonts w:ascii="Calibri" w:hAnsi="Calibri"/>
          <w:sz w:val="22"/>
          <w:color w:val="1A1A1A"/>
        </w:rPr>
        <w:t xml:space="preserve">[City, State] · [email@example.com] · [phone] · [linkedin.com/in/you]</w:t>
      </w:r>
    </w:p>
    <w:p>
      <w:pPr>
        <w:spacing w:before="200" w:after="80" w:line="254" w:lineRule="auto"/>
        <w:pBdr>
          <w:bottom w:val="single" w:color="BFBFBF" w:sz="6" w:space="2"/>
        </w:pBdr>
      </w:pPr>
      <w:r>
        <w:rPr>
          <w:b/>
          <w:rFonts w:ascii="Calibri" w:hAnsi="Calibri"/>
          <w:sz w:val="24"/>
          <w:color w:val="1F4E79"/>
        </w:rPr>
        <w:t xml:space="preserve">PROFESSIONAL SUMMARY</w:t>
      </w:r>
    </w:p>
    <w:p>
      <w:pPr>
        <w:spacing w:before="0" w:after="60" w:line="254" w:lineRule="auto"/>
      </w:pPr>
      <w:r>
        <w:rPr>
          <w:rFonts w:ascii="Calibri" w:hAnsi="Calibri"/>
          <w:sz w:val="22"/>
          <w:color w:val="1A1A1A"/>
        </w:rPr>
        <w:t xml:space="preserve">Results-driven Human Resources Manager with 8+ years of progressive HR experience spanning talent acquisition, workforce development, and organizational compliance. Proven ability to lead end-to-end recruitment initiatives that attract top-tier talent while maintaining full compliance with federal and state employment laws. Skilled at designing impactful training programs, managing personnel operations budgets, and partnering with senior leadership on strategic planning to align HR functions with broader business objectives. Adept at leveraging applicant tracking systems to streamline hiring workflows and improve candidate experience.</w:t>
      </w:r>
    </w:p>
    <w:p>
      <w:pPr>
        <w:spacing w:before="200" w:after="80" w:line="254" w:lineRule="auto"/>
        <w:pBdr>
          <w:bottom w:val="single" w:color="BFBFBF" w:sz="6" w:space="2"/>
        </w:pBdr>
      </w:pPr>
      <w:r>
        <w:rPr>
          <w:b/>
          <w:rFonts w:ascii="Calibri" w:hAnsi="Calibri"/>
          <w:sz w:val="24"/>
          <w:color w:val="1F4E79"/>
        </w:rPr>
        <w:t xml:space="preserve">KEY SKILLS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End-to-End Recruitment &amp; Talent Acquisition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Federal &amp; State Employment Law Compliance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Training Program Design &amp; Facilitation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Personnel Operations Budgeting</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Strategic Workforce Planning</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Employee Relations &amp; Conflict Resolution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Performance Management Systems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Onboarding &amp; Retention Strategy</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iCIMS ATS Administration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HRIS Reporting &amp; Analytics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Benefits Administration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Diversity, Equity &amp; Inclusion Initiatives</w:t>
      </w:r>
    </w:p>
    <w:p>
      <w:pPr>
        <w:spacing w:before="200" w:after="80" w:line="254" w:lineRule="auto"/>
        <w:pBdr>
          <w:bottom w:val="single" w:color="BFBFBF" w:sz="6" w:space="2"/>
        </w:pBdr>
      </w:pPr>
      <w:r>
        <w:rPr>
          <w:b/>
          <w:rFonts w:ascii="Calibri" w:hAnsi="Calibri"/>
          <w:sz w:val="24"/>
          <w:color w:val="1F4E79"/>
        </w:rPr>
        <w:t xml:space="preserve">PROFESSIONAL EXPERIENCE</w:t>
      </w:r>
    </w:p>
    <w:p>
      <w:pPr>
        <w:spacing w:before="120" w:after="20" w:line="254" w:lineRule="auto"/>
      </w:pPr>
      <w:r>
        <w:rPr>
          <w:b/>
          <w:rFonts w:ascii="Calibri" w:hAnsi="Calibri"/>
          <w:sz w:val="22"/>
          <w:color w:val="1A1A1A"/>
        </w:rPr>
        <w:t xml:space="preserve">Human Resources Manager — Mid-Size Manufacturing Company (4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Oversaw end-to-end recruitment for 120+ annual hires across exempt and non-exempt roles, reducing average time-to-fill from 52 days to 34 days and cutting agency spend by 28%</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Administered and optimized iCIMS applicant tracking system, improving recruiter productivity by 20% through customized workflows, automated communications, and structured interview scorecards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Ensured ongoing compliance with federal and state employment laws including FMLA, ADA, FLSA, and EEO regulations, resulting in zero EEOC findings over a four-year period</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Developed and launched a supervisory skills training program for 45 frontline managers, contributing to a 15% improvement in 90-day new-hire retention rates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Managed a $1.4M personnel operations budget, identifying cost efficiencies that returned approximately $110K annually without reducing service quality</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Partnered with the executive team on strategic planning for workforce expansion, supporting a 22% headcount growth over two fiscal years</w:t>
      </w:r>
    </w:p>
    <w:p>
      <w:pPr>
        <w:spacing w:before="120" w:after="20" w:line="254" w:lineRule="auto"/>
      </w:pPr>
      <w:r>
        <w:rPr>
          <w:b/>
          <w:rFonts w:ascii="Calibri" w:hAnsi="Calibri"/>
          <w:sz w:val="22"/>
          <w:color w:val="1A1A1A"/>
        </w:rPr>
        <w:t xml:space="preserve">HR Business Partner — Regional Healthcare System (3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Supported full-cycle recruitment for clinical and administrative departments, filling an average of 80 positions per year while maintaining a candidate offer-acceptance rate of 91%</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Designed and delivered compliance-focused training programs covering harassment prevention, HIPAA awareness, and workplace safety, reaching 600+ employees annually</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Collaborated with department directors on succession planning and talent pipeline development as part of the organization's three-year strategic planning initiative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Conducted regular audits of HR policies and procedures to ensure alignment with evolving federal and state employment laws, updating the employee handbook twice annually</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Assisted in budgeting for personnel operations, preparing quarterly variance reports and presenting findings to the VP of Human Resources</w:t>
      </w:r>
    </w:p>
    <w:p>
      <w:pPr>
        <w:spacing w:before="120" w:after="20" w:line="254" w:lineRule="auto"/>
      </w:pPr>
      <w:r>
        <w:rPr>
          <w:b/>
          <w:rFonts w:ascii="Calibri" w:hAnsi="Calibri"/>
          <w:sz w:val="22"/>
          <w:color w:val="1A1A1A"/>
        </w:rPr>
        <w:t xml:space="preserve">HR Generalist — Series-B SaaS Company (2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Managed end-to-end recruitment for technical and go-to-market roles, sourcing and placing 35 hires within the first year of rapid organizational scaling</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Implemented an onboarding program that reduced new-hire ramp time by approximately 18% and improved 30-day engagement survey scores by 12 points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Maintained accurate I-9 documentation and supported EEO-1 reporting to ensure compliance with federal and state employment laws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Introduced structured performance review cycles and manager training programs that increased participation rates from 64% to 93% within two review periods</w:t>
      </w:r>
    </w:p>
    <w:p>
      <w:pPr>
        <w:spacing w:before="200" w:after="80" w:line="254" w:lineRule="auto"/>
        <w:pBdr>
          <w:bottom w:val="single" w:color="BFBFBF" w:sz="6" w:space="2"/>
        </w:pBdr>
      </w:pPr>
      <w:r>
        <w:rPr>
          <w:b/>
          <w:rFonts w:ascii="Calibri" w:hAnsi="Calibri"/>
          <w:sz w:val="24"/>
          <w:color w:val="1F4E79"/>
        </w:rPr>
        <w:t xml:space="preserve">EDUCATION</w:t>
      </w:r>
    </w:p>
    <w:p>
      <w:pPr>
        <w:spacing w:before="0" w:after="60" w:line="254" w:lineRule="auto"/>
      </w:pPr>
      <w:r>
        <w:rPr>
          <w:b/>
          <w:rFonts w:ascii="Calibri" w:hAnsi="Calibri"/>
          <w:sz w:val="22"/>
          <w:color w:val="1A1A1A"/>
        </w:rPr>
        <w:t xml:space="preserve">Bachelor of Science, Human Resource Management</w:t>
      </w:r>
    </w:p>
    <w:p>
      <w:pPr>
        <w:spacing w:before="0" w:after="60" w:line="254" w:lineRule="auto"/>
      </w:pPr>
      <w:r>
        <w:rPr>
          <w:rFonts w:ascii="Calibri" w:hAnsi="Calibri"/>
          <w:sz w:val="22"/>
          <w:color w:val="1A1A1A"/>
        </w:rPr>
        <w:t xml:space="preserve">State University — College of Business</w:t>
      </w:r>
    </w:p>
    <w:p>
      <w:pPr>
        <w:spacing w:before="200" w:after="80" w:line="254" w:lineRule="auto"/>
        <w:pBdr>
          <w:bottom w:val="single" w:color="BFBFBF" w:sz="6" w:space="2"/>
        </w:pBdr>
      </w:pPr>
      <w:r>
        <w:rPr>
          <w:b/>
          <w:rFonts w:ascii="Calibri" w:hAnsi="Calibri"/>
          <w:sz w:val="24"/>
          <w:color w:val="1F4E79"/>
        </w:rPr>
        <w:t xml:space="preserve">CERTIFICATIONS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SHRM Certified Professional (SHRM-CP)</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Professional in Human Resources (PHR) — HRCI</w:t>
      </w:r>
    </w:p>
    <w:sectPr>
      <w:pgSz w:w="12240" w:h="15840"/>
      <w:pgMar w:top="720" w:right="720" w:bottom="720" w:left="720" w:header="720" w:footer="720" w:gutter="0"/>
    </w:sectPr>
  </w:body>
</w:document>
</file>