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c25e9ef326f4ffd"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Innovative Lead AI Engineer with 8+ years of experience designing and deploying production-grade machine learning systems, with deep specialization in large language models (LLMs), retrieval-augmented generation (RAG), and end-to-end MLOps pipelines. Proven track record of translating complex AI capabilities into measurable business outcomes across enterprise and startup environments. Skilled at bridging technical architecture with strategic roadmap planning, mentoring high-performing engineering teams, and communicating AI solutions clearly to executive and non-technical stakeholders. Adept at leading cross-functional collaboration across product, data, and infrastructure teams to deliver scalable, governed AI systems on time and on budget.</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AI/ML:</w:t>
      </w:r>
      <w:r>
        <w:rPr>
          <w:rFonts w:ascii="Calibri" w:hAnsi="Calibri"/>
          <w:sz w:val="22"/>
          <w:color w:val="1A1A1A"/>
        </w:rPr>
        <w:t xml:space="preserve"> Large Language Models (LLMs), NLP, Prompt Engineering, Retrieval-Augmented Generation (RAG), Model Evaluation &amp; Governance, Fine-Tuning</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Frameworks &amp; Libraries:</w:t>
      </w:r>
      <w:r>
        <w:rPr>
          <w:rFonts w:ascii="Calibri" w:hAnsi="Calibri"/>
          <w:sz w:val="22"/>
          <w:color w:val="1A1A1A"/>
        </w:rPr>
        <w:t xml:space="preserve"> Python, PyTorch, HuggingFace Transformers, LangChain, LangGraph, OpenAI SDK</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Infrastructure &amp; MLOps:</w:t>
      </w:r>
      <w:r>
        <w:rPr>
          <w:rFonts w:ascii="Calibri" w:hAnsi="Calibri"/>
          <w:sz w:val="22"/>
          <w:color w:val="1A1A1A"/>
        </w:rPr>
        <w:t xml:space="preserve"> AWS (SageMaker, Lambda, S3, ECS), Kubernetes, Docker, FastAPI, REST APIs, Distributed Systems, Microservices</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Vector Databases:</w:t>
      </w:r>
      <w:r>
        <w:rPr>
          <w:rFonts w:ascii="Calibri" w:hAnsi="Calibri"/>
          <w:sz w:val="22"/>
          <w:color w:val="1A1A1A"/>
        </w:rPr>
        <w:t xml:space="preserve"> Pinecone, Weaviate, Qdrant</w:t>
      </w:r>
    </w:p>
    <w:p>
      <w:pPr>
        <w:spacing w:before="120" w:after="120" w:line="240" w:lineRule="atLeast"/>
        <w:tabs>
          <w:tab w:val="left" w:pos="360"/>
        </w:tabs>
        <w:ind w:left="360" w:hanging="360"/>
      </w:pPr>
      <w:r>
        <w:rPr>
          <w:rFonts w:ascii="Calibri" w:hAnsi="Calibri"/>
          <w:sz w:val="22"/>
          <w:color w:val="1A1A1A"/>
        </w:rPr>
        <w:t xml:space="preserve">•</w:t>
        <w:tab/>
      </w:r>
      <w:r>
        <w:rPr>
          <w:b/>
          <w:rFonts w:ascii="Calibri" w:hAnsi="Calibri"/>
          <w:sz w:val="22"/>
          <w:color w:val="1A1A1A"/>
        </w:rPr>
        <w:t xml:space="preserve">Leadership:</w:t>
      </w:r>
      <w:r>
        <w:rPr>
          <w:rFonts w:ascii="Calibri" w:hAnsi="Calibri"/>
          <w:sz w:val="22"/>
          <w:color w:val="1A1A1A"/>
        </w:rPr>
        <w:t xml:space="preserve"> Technical Mentorship, Architecture Design, Stakeholder Management, Delivery Leadership, Strategic Planning, Executive Communications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Lead AI Engineer — Enterprise Software &amp; Analytics Company (3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Architected and deployed a production RAG pipeline using LangChain, LangGraph, and Pinecone that reduced customer support resolution time by 34% and deflected approximately 18,000 tickets annually across a Fortune 500 client base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Led a team of 7 engineers in building a multi-tenant LLM platform on AWS, leveraging Kubernetes and Docker for containerized microservices, achieving 99.95% uptime and cutting inference latency by 41%</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Established a model evaluation and governance framework covering bias detection, hallucination scoring, and compliance logging, reducing model-related production incidents by 60%</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Drove strategic roadmap planning for the AI product suite in partnership with product and executive leadership, securing $2.1M in additional engineering investment over two annual planning cycles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Mentored 4 junior and mid-level engineers through structured code reviews, architecture walkthroughs, and prompt engineering workshops, with 2 promoted within 18 months</w:t>
      </w:r>
    </w:p>
    <w:p>
      <w:pPr>
        <w:spacing w:before="120" w:after="20" w:line="254" w:lineRule="auto"/>
      </w:pPr>
      <w:r>
        <w:rPr>
          <w:b/>
          <w:rFonts w:ascii="Calibri" w:hAnsi="Calibri"/>
          <w:sz w:val="22"/>
          <w:color w:val="1A1A1A"/>
        </w:rPr>
        <w:t xml:space="preserve">Senior Machine Learning Engineer — Series-C Fintech Company (3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Designed and productionized NLP classification models using PyTorch and HuggingFace to automate document processing workflows, reducing manual review effort by 52% and saving an estimated $900K annually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Built scalable MLOps pipelines on AWS SageMaker with automated retraining triggers, model versioning, and A/B evaluation harnesses, cutting model deployment cycle time from 3 weeks to 4 days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Integrated vector database search (Weaviate) with a FastAPI microservice layer to power a semantic document retrieval feature adopted by 85% of enterprise users within 90 days of launch</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cross-functionally with compliance, legal, and product teams to define responsible AI standards and embed governance checkpoints into the ML delivery lifecycle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Represented the AI team in client-facing technical discovery sessions, translating model capabilities into business-value narratives that supported 3 enterprise contract renewals</w:t>
      </w:r>
    </w:p>
    <w:p>
      <w:pPr>
        <w:spacing w:before="120" w:after="20" w:line="254" w:lineRule="auto"/>
      </w:pPr>
      <w:r>
        <w:rPr>
          <w:b/>
          <w:rFonts w:ascii="Calibri" w:hAnsi="Calibri"/>
          <w:sz w:val="22"/>
          <w:color w:val="1A1A1A"/>
        </w:rPr>
        <w:t xml:space="preserve">Machine Learning Engineer — Regional Healthcare Technology Company (2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Developed NLP pipelines for clinical note summarization using HuggingFace and Python, improving clinician documentation efficiency by 27% in a pilot across 5 hospital sites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Containerized model serving infrastructure with Docker and deployed on AWS ECS, enabling horizontal scaling to handle 3× peak load during open enrollment periods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Contributed to early RAG prototyping using Qdrant as the vector store, establishing foundational retrieval architecture later adopted across the broader AI platform</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Master of Science, Computer Science (Machine Learning Concentration)</w:t>
      </w:r>
    </w:p>
    <w:p>
      <w:pPr>
        <w:spacing w:before="0" w:after="60" w:line="254" w:lineRule="auto"/>
      </w:pPr>
      <w:r>
        <w:rPr>
          <w:rFonts w:ascii="Calibri" w:hAnsi="Calibri"/>
          <w:sz w:val="22"/>
          <w:color w:val="1A1A1A"/>
        </w:rPr>
        <w:t xml:space="preserve">Large Public Research University</w:t>
      </w:r>
    </w:p>
    <w:p>
      <w:pPr>
        <w:spacing w:before="0" w:after="60" w:line="254" w:lineRule="auto"/>
      </w:pPr>
      <w:r>
        <w:rPr>
          <w:b/>
          <w:rFonts w:ascii="Calibri" w:hAnsi="Calibri"/>
          <w:sz w:val="22"/>
          <w:color w:val="1A1A1A"/>
        </w:rPr>
        <w:t xml:space="preserve">Bachelor of Science, Computer Engineering</w:t>
      </w:r>
    </w:p>
    <w:p>
      <w:pPr>
        <w:spacing w:before="0" w:after="60" w:line="254" w:lineRule="auto"/>
      </w:pPr>
      <w:r>
        <w:rPr>
          <w:rFonts w:ascii="Calibri" w:hAnsi="Calibri"/>
          <w:sz w:val="22"/>
          <w:color w:val="1A1A1A"/>
        </w:rPr>
        <w:t xml:space="preserve">State University</w:t>
      </w:r>
    </w:p>
    <w:sectPr>
      <w:pgSz w:w="12240" w:h="15840"/>
      <w:pgMar w:top="720" w:right="720" w:bottom="720" w:left="720" w:header="720" w:footer="720" w:gutter="0"/>
    </w:sectPr>
  </w:body>
</w:document>
</file>