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0fccc29ee405c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Accomplished Lead Electrical Engineer with 10+ years of progressive experience spanning power distribution design, protective relay settings, and mixed-signal circuit development. Proven ability to lead cross-functional design reviews, drive arc flash calculations and power system studies to completion, and mentor junior engineers through complex technical challenges. Adept at balancing high-voltage power systems work with precision analog and digital circuit design, delivering reliable, code-compliant solutions on schedule and within budget.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Power Distribution Design &amp; Single Line Diagrams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Arc Flash Calculations &amp; Protective Relay Settings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Block &amp; Relay Coordination Studies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Voltage Drop Calculations &amp; Power System Studies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Analog Circuit Design &amp; Digital Circuit Design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PCB Design (Altium, PADS)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EMI/ESD Considerations &amp; Mitigation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Schematic Drawings &amp; Circuit Tolerance Analysis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Test Planning &amp; Execution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Design Reviews &amp; Technical Leadership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NEC / IEEE Standards Compliance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ETAP / SKM PowerTools Proficiency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Lead Electrical Engineer — Industrial Automation &amp; Controls Manufacturer (6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Directed power distribution design for a new 480 V / 208 V facility expansion, producing single line diagrams, schematic drawings, and voltage drop calculations that reduced installation rework by 22%.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Performed arc flash calculations and protective relay settings for 15 distribution panels, achieving full IEEE 1584 compliance and cutting incident energy levels by an average of 18% through optimized block and relay coordination.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Led PCB design efforts in Altium for four embedded control boards, incorporating EMI/ESD considerations that resulted in zero field failures related to electromagnetic interference across 1,200+ deployed units.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Conducted circuit tolerance analysis and analog/digital circuit design reviews for motor drive circuitry, identifying 11 critical design vulnerabilities before prototype build and saving an estimated $140K in redesign costs.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and executed comprehensive test planning &amp; execution protocols for power system studies, reducing validation cycle time by 30% and supporting on-time product launches for three consecutive product generations.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Mentored a team of four electrical engineers, conducting weekly design reviews and establishing a schematic drawing standards library adopted department-wide.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Senior Electrical Engineer — Regional Utility Infrastructure Contractor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Performed power system studies including short-circuit, load flow, and coordination analyses for substations ranging from 4.16 kV to 34.5 kV, delivering protective relay settings that improved system selectivity and minimized outage scope.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Produced arc flash calculations and single line diagrams for 30+ industrial client sites, ensuring compliance with NFPA 70E and supporting client safety training programs.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with project managers on voltage drop calculations and feeder sizing for distribution networks serving manufacturing campuses, reducing energy losses by approximately 12% across three major projects.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Authored test planning &amp; execution documentation for relay commissioning activities, coordinating field crews and achieving zero safety incidents across 18 months of substation work.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Electrical Engineer — Defense Electronics Contractor (2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Designed analog circuit and digital circuit subsystems for ruggedized avionics power supply modules, applying EMI/ESD considerations per MIL-STD-461 requirements.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Executed PCB design in PADS for high-density, mixed-signal boards operating in harsh environments, achieving first-pass functional success on two of three designs and reducing spin cycles by 35%.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circuit tolerance analysis and design reviews for power conditioning circuits, contributing to a 15% improvement in mean time between failures (MTBF) over the prior product generation.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Electrical Engineering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Large Public Research University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Master of Science, Power Systems Engineering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State Technical University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CERTIFICATIONS &amp; AFFILIATIONS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Professional Engineer (PE) — Electrical, Licensed in Multiple States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IEEE Senior Member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ETAP Certified Power Systems Analyst</w:t>
      </w:r>
    </w:p>
    <w:sectPr>
      <w:pgSz w:w="12240" w:h="15840"/>
      <w:pgMar w:top="720" w:right="720" w:bottom="720" w:left="720" w:header="720" w:footer="720" w:gutter="0"/>
    </w:sectPr>
  </w:body>
</w:document>
</file>