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e040458bcbd34e6d"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Innovative Lead Machine Learning Engineer with 8+ years of experience designing, building, and delivering production-grade ML systems across regulated and high-growth environments. Proven track record constructing optimized data pipelines, architecting distributed computing solutions, and leading cross-functional teams from model ideation through deployment and ongoing monitoring. Deep expertise in large language model inference, Retrieval-Augmented Generation (RAG), and agentic AI frameworks, paired with strong model governance and risk management practices. Recognized for translating complex ML capabilities into measurable business outcomes while maintaining code excellence and engineering governance standards.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ML Model Design, Training &amp; Deployment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Retrieval-Augmented Generation (RAG) &amp; LLM Inference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Agentic AI Frameworks (LangChain, LangGraph, LlamaIndex)</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Distributed Computing &amp; Data-Intensive Pipeline Construction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Hyperparameter Tuning, Dimensionality Reduction &amp; Bias/Variance Analysis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Model Governance, Explainability &amp; Risk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Observability &amp; Production Model Monitoring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CI/CD for ML, Test Automation &amp; Feature Selection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Cloud-Based ML Architectures (AWS, GCP, Azure)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Vector Databases &amp; Embedding-Based Retrieval Systems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Python, Scala, Java</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Evaluation Frameworks &amp; Model Experimentation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Technical Leadership, Code Reviews &amp; Agile Teamwork</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Lead Machine Learning Engineer — Enterprise Financial Services Firm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Architected and delivered an end-to-end RAG-based document intelligence platform using LangChain and LlamaIndex, reducing analyst research time by 38% and supporting regulatory explainability requirements across three business units.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Constructed optimized distributed data pipelines using Apache Spark and Python to feed production ML models processing over 4 billion records monthly, cutting pipeline latency by 52%.</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Established model governance protocols including guardrails, bias audits, and validation frameworks aligned with internal risk posture, resulting in zero model-related compliance findings over two annual review cycles.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a team of six engineers through agile sprints, conducting weekly code reviews and enforcing engineering standards that reduced post-deployment defect rates by 44%.</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Implemented CI/CD workflows for ML using automated testing and monitoring hooks, decreasing model release cycles from three weeks to four days.</w:t>
      </w:r>
    </w:p>
    <w:p>
      <w:pPr>
        <w:spacing w:before="120" w:after="20" w:line="254" w:lineRule="auto"/>
      </w:pPr>
      <w:r>
        <w:rPr>
          <w:b/>
          <w:rFonts w:ascii="Calibri" w:hAnsi="Calibri"/>
          <w:sz w:val="22"/>
          <w:color w:val="1A1A1A"/>
        </w:rPr>
        <w:t xml:space="preserve">Senior Machine Learning Engineer — Series-C Insurtech Company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Designed and trained gradient boosting and deep learning models for claims risk scoring; applied hyperparameter tuning and dimensionality reduction techniques that improved AUC by 0.09 over baseline.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Built observability and monitoring infrastructure for 14 production models, enabling automated retraining triggers and reducing model degradation incidents by 61%.</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LLM inference pipelines integrated with vector databases to power a customer-facing conversational assistant, achieving sub-300ms average response latency at scale.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Partnered with product and data science stakeholders to define evaluation frameworks for model experimentation, accelerating feature-to-production timelines by 30%.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Contributed to cloud-based ML architecture migration from on-premises infrastructure to a managed GCP environment, reducing compute costs by $420K annually.</w:t>
      </w:r>
    </w:p>
    <w:p>
      <w:pPr>
        <w:spacing w:before="120" w:after="20" w:line="254" w:lineRule="auto"/>
      </w:pPr>
      <w:r>
        <w:rPr>
          <w:b/>
          <w:rFonts w:ascii="Calibri" w:hAnsi="Calibri"/>
          <w:sz w:val="22"/>
          <w:color w:val="1A1A1A"/>
        </w:rPr>
        <w:t xml:space="preserve">Machine Learning Engineer — Regional Healthcare Analytics Company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Built and maintained supervised and unsupervised ML models for patient outcome prediction, applying feature selection methodologies that improved model precision by 22% while reducing input dimensionality by 40%.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Python and Scala-based ETL components to support data-intensive solutions across distributed Hadoop and Spark clusters serving 12 hospital system clients.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cross-functionally with clinical informatics and engineering teams to align model outputs with downstream reporting requirements and stakeholder expectations.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Master of Science, Computer Science — Concentration in Machine Learning</w:t>
      </w:r>
    </w:p>
    <w:p>
      <w:pPr>
        <w:spacing w:before="0" w:after="60" w:line="254" w:lineRule="auto"/>
      </w:pPr>
      <w:r>
        <w:rPr>
          <w:rFonts w:ascii="Calibri" w:hAnsi="Calibri"/>
          <w:sz w:val="22"/>
          <w:color w:val="1A1A1A"/>
        </w:rPr>
        <w:t xml:space="preserve">Large Public Research University</w:t>
      </w:r>
    </w:p>
    <w:p>
      <w:pPr>
        <w:spacing w:before="0" w:after="60" w:line="254" w:lineRule="auto"/>
      </w:pPr>
      <w:r>
        <w:rPr>
          <w:b/>
          <w:rFonts w:ascii="Calibri" w:hAnsi="Calibri"/>
          <w:sz w:val="22"/>
          <w:color w:val="1A1A1A"/>
        </w:rPr>
        <w:t xml:space="preserve">Bachelor of Science, Statistics</w:t>
      </w:r>
    </w:p>
    <w:p>
      <w:pPr>
        <w:spacing w:before="0" w:after="60" w:line="254" w:lineRule="auto"/>
      </w:pPr>
      <w:r>
        <w:rPr>
          <w:rFonts w:ascii="Calibri" w:hAnsi="Calibri"/>
          <w:sz w:val="22"/>
          <w:color w:val="1A1A1A"/>
        </w:rPr>
        <w:t xml:space="preserve">State University System Campus</w:t>
      </w:r>
    </w:p>
    <w:p>
      <w:pPr>
        <w:spacing w:before="80" w:after="80" w:line="254" w:lineRule="auto"/>
        <w:pBdr>
          <w:bottom w:val="single" w:color="BFBFBF" w:sz="6" w:space="1"/>
        </w:pBdr>
      </w:pPr>
    </w:p>
    <w:p>
      <w:pPr>
        <w:spacing w:before="0" w:after="60" w:line="254" w:lineRule="auto"/>
      </w:pPr>
      <w:r>
        <w:rPr>
          <w:b/>
          <w:rFonts w:ascii="Calibri" w:hAnsi="Calibri"/>
          <w:sz w:val="22"/>
          <w:color w:val="1A1A1A"/>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AWS Certified Machine Learning – Specialty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Google Professional Machine Learning Engineer</w:t>
      </w:r>
    </w:p>
    <w:sectPr>
      <w:pgSz w:w="12240" w:h="15840"/>
      <w:pgMar w:top="720" w:right="720" w:bottom="720" w:left="720" w:header="720" w:footer="720" w:gutter="0"/>
    </w:sectPr>
  </w:body>
</w:document>
</file>