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667dc53ff114707"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Machine Learning Engineer with 6+ years of experience designing, developing, and implementing machine learning models that deliver measurable business impact. Proven track record of building robust production pipelines and deploying scalable production systems across diverse domains. Adept at translating complex technical concepts into clear, actionable insights for non-technical stakeholders, and skilled at driving cross-functional collaboration between engineering, product, and business teams. Passionate about advancing neural network architectures and ensuring model quality through rigorous validation and calibration practices.</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Machine Learning Model Design &amp; Development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Neural Networks (CNNs, RNNs, Transformers)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Production Pipeline Engineering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Model Validation &amp; Calibration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MLOps &amp; Production System Deployment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Python, PyTorch, TensorFlow, scikit-learn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Feature Engineering &amp; Data Preprocessing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A/B Testing &amp; Experiment Design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Management &amp;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SQL &amp; Cloud Platforms (AWS, GCP)</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Machine Learning Engineer — Global E-Commerce Platform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the design and development of ML models for real-time product recommendation, increasing average order value by 14% and contributing an estimated $8M in incremental annual revenue.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Architected end-to-end production pipelines using Kubeflow and Apache Airflow, reducing model deployment cycle time from three weeks to four days and improving team throughput by 40%.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comprehensive model validation and calibration frameworks that reduced prediction error rates by 22% across five live production systems.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deployed a neural network-based demand forecasting model that decreased inventory overstock costs by 18% within the first two quarters post-launch.</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product managers and business analysts to articulate complex technical concepts in accessible terms, enabling faster executive buy-in on a $1.2M ML infrastructure investment.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a team of three junior engineers, establishing coding standards and peer-review processes that improved code quality scores by 30%.</w:t>
      </w:r>
    </w:p>
    <w:p>
      <w:pPr>
        <w:spacing w:before="120" w:after="20" w:line="254" w:lineRule="auto"/>
      </w:pPr>
      <w:r>
        <w:rPr>
          <w:b/>
          <w:rFonts w:ascii="Calibri" w:hAnsi="Calibri"/>
          <w:sz w:val="22"/>
          <w:color w:val="1A1A1A"/>
        </w:rPr>
        <w:t xml:space="preserve">Machine Learning Engineer — Mid-Size Financial Services Firm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implemented machine learning models for credit risk scoring, improving model accuracy by 17% over the legacy rules-based system and reducing manual underwriting review volume by 25%.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scalable production pipelines for automated feature ingestion and model retraining, cutting data processing latency by 35% and ensuring models remained current with shifting market conditions.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rigorous model validation and calibration exercises in compliance with internal risk governance standards, presenting findings to cross-functional stakeholder groups including compliance, finance, and operations.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data engineering and DevOps teams to migrate batch inference workloads to real-time serving infrastructure, supporting a 3x increase in transaction throughput.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Authored internal documentation and delivered quarterly knowledge-sharing sessions to non-technical audiences, improving organization-wide ML literacy and accelerating adoption of model-driven decision-making.</w:t>
      </w:r>
    </w:p>
    <w:p>
      <w:pPr>
        <w:spacing w:before="120" w:after="20" w:line="254" w:lineRule="auto"/>
      </w:pPr>
      <w:r>
        <w:rPr>
          <w:b/>
          <w:rFonts w:ascii="Calibri" w:hAnsi="Calibri"/>
          <w:sz w:val="22"/>
          <w:color w:val="1A1A1A"/>
        </w:rPr>
        <w:t xml:space="preserve">Junior Machine Learning Engineer — Healthcare Technology Startup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the design and development of ML models for clinical outcome prediction, supporting a pilot program across four regional hospital partners.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building and maintaining production pipelines for data ingestion, preprocessing, and model inference, achieving 99.2% pipeline uptime over an eight-month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neural network experimentation efforts, evaluating five candidate architectures and identifying the optimal configuration that improved F1 score by 11%.</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Communicated model performance results and technical trade-offs to clinical and operations stakeholders through structured presentations and written summaries.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Computer Science</w:t>
      </w:r>
    </w:p>
    <w:p>
      <w:pPr>
        <w:spacing w:before="0" w:after="60" w:line="254" w:lineRule="auto"/>
      </w:pPr>
      <w:r>
        <w:rPr>
          <w:rFonts w:ascii="Calibri" w:hAnsi="Calibri"/>
          <w:sz w:val="22"/>
          <w:color w:val="1A1A1A"/>
        </w:rPr>
        <w:t xml:space="preserve">State Research University</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AWS Certified Machine Learning – Specialty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Deep Learning Specialization — Online Professional Certificate (Coursera / deeplearning.ai)</w:t>
      </w:r>
    </w:p>
    <w:sectPr>
      <w:pgSz w:w="12240" w:h="15840"/>
      <w:pgMar w:top="720" w:right="720" w:bottom="720" w:left="720" w:header="720" w:footer="720" w:gutter="0"/>
    </w:sectPr>
  </w:body>
</w:document>
</file>