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edfa2b4a5477f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Detail-oriented Mechanical Engineer with 6+ years of experience in mechanical design, 3D parametric modeling, and production machinery development across manufacturing and industrial automation environments. Proven track record delivering ANSI/ASME Y14.100-compliant drawings, managing engineering change documentation, and driving Design for Manufacturability (DFM) improvements that reduce cost and accelerate time to production. Skilled collaborator who thrives in cross-functional, multidisciplinary teams and communicates complex technical concepts clearly to both engineering and non-engineering stakeholders.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Mechanical Design &amp; 3D Parametric Modeling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SolidWorks, Creo Parametric, CATIA, AutoCAD, Siemens NX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Windchill PDM/PLM &amp; BOMs/Drawings Management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ANSI/ASME Y14.100 GD&amp;T Drawing Standards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DFMEA / Risk Assessment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Design for Manufacturability (DFM)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Pneumatic and Mechanical Systems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Automated Assembly Equipment &amp; Production Machinery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Engineering Change Documentation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Project Management &amp; Cross-Functional Collaboration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Stakeholder Management &amp; Technical Communication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Mentoring &amp; Team Leadership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Mechanical Engineer II — Industrial Automation Equipment Manufacturer (4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Led mechanical design of automated assembly equipment and pneumatic systems for high-volume consumer goods production lines, reducing machine downtime by 18% through DFM-driven redesigns.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Created and maintained ANSI/ASME Y14.100-compliant engineering drawings and BOMs in SolidWorks and Windchill PDM/PLM, supporting a library of 1,200+ controlled components across five active product platforms.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Executed DFMEA and risk assessment sessions with cross-functional teams prior to design release, identifying and mitigating 30+ critical failure modes before tooling investment.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Managed engineering change documentation end-to-end — from ECO initiation through approval and release — cutting average change cycle time from 14 days to 8 days.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Collaborated with manufacturing, quality, and supply chain stakeholders to validate designs against producibility requirements, achieving first-article acceptance on 92% of new components without rework.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Mentored two junior engineers on GD&amp;T best practices and SolidWorks modeling standards, improving team drawing quality scores on internal audits by 25%.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Mechanical Engineer I — Contract Manufacturing Services Company (2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Developed 3D parametric models and detailed drawings in Creo Parametric and AutoCAD for custom pneumatic and mechanical systems used in medical device assembly fixtures.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Supported DFM reviews with tooling vendors, contributing to a 12% average reduction in piece-part cost across a portfolio of 40+ machined components.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Maintained accurate BOMs and revision-controlled drawings within a PDM/PLM environment, ensuring zero documentation discrepancies during two consecutive ISO audit cycles.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Coordinated project planning and scheduling for concurrent design projects, delivering all five assigned programs on time within a fiscal year with constrained engineering headcount.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Participated in multidisciplinary design reviews with electrical, software, and manufacturing engineering teams, improving cross-functional alignment and reducing late-stage design changes by 20%.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Junior Mechanical Designer — Precision Components Supplier (1 year)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Produced SolidWorks models and ASME-compliant drawings for machined brackets, weldments, and sheet metal enclosures supporting production machinery upgrades.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Assisted senior engineers with DFMEA documentation and risk assessment worksheets for three new product introductions.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Organized and archived engineering change documentation and drawing revisions within the company's PDM system, improving retrieval time for legacy part files by 35%.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Science, Mechanical Engineering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State University — College of Engineering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CERTIFICATIONS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Certified SolidWorks Professional (CSWP)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GD&amp;T Fundamentals Certificate — ASME</w:t>
      </w:r>
    </w:p>
    <w:sectPr>
      <w:pgSz w:w="12240" w:h="15840"/>
      <w:pgMar w:top="720" w:right="720" w:bottom="720" w:left="720" w:header="720" w:footer="720" w:gutter="0"/>
    </w:sectPr>
  </w:body>
</w:document>
</file>