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1a3385e734915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Licensed pharmacist with 7+ years of progressive experience spanning hospital inpatient and clinical pharmacy settings. Demonstrated expertise in sterile compounding, pharmacokinetics, therapeutic drug monitoring, and medication reconciliation across high-acuity patient populations. Proficient in Epic and Cerner EHR platforms with a strong compliance mindset rooted in USP 797/800 standards and adherence to state and federal regulations. Known for clear patient counseling, precise medication verification, and collaborative teamwork that supports safe, efficient pharmacy operations.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Dispense Medications &amp; Order Entry/Verification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Hospital/Inpatient Clinical Pharmacy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Sterile Compounding &amp; IV Admixture (USP 797/800)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Pharmacokinetics &amp; Therapeutic Drug Monitoring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Medication Reconciliation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Drug Interaction Screening &amp; Drug Information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Patient Education &amp; Counseling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EMR/EHR: Epic, Cerner, Liberty Software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State &amp; Federal Regulatory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Pharmacy Operations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Attention to Detail &amp; Time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Interprofessional Teamwork &amp; Communication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Pharmacist — Regional Academic Medical Center *(4 years)*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Verified and dispensed an average of 350+ medication orders daily across medical-surgical, oncology, and ICU units, maintaining a dispensing accuracy rate exceeding 99.8%.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sterile compounding and IV admixture preparation in full compliance with USP 797 and USP 800 guidelines, contributing to zero cited deficiencies across three consecutive state board inspections.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Conducted pharmacokinetic consultations and therapeutic drug monitoring for vancomycin and aminoglycosides, optimizing dosing protocols for approximately 40 patients per month and reducing adverse drug events by an estimated 18%.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physicians, nurses, and case managers on medication reconciliation at admission and discharge, decreasing medication discrepancy rates by 22% over a 12-month quality improvement initiative.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Utilized Epic EHR for real-time order entry, clinical documentation, and drug interaction screening, ensuring timely and accurate patient care.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Delivered patient counseling on high-risk medications including anticoagulants, immunosuppressants, and chemotherapy agents, improving measurable patient adherence scores by 15%.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Clinical Pharmacist — Community Hospital System *(3 years)*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Provided comprehensive drug information and patient counseling services to inpatient and transitional care teams, fielding an average of 25 clinical inquiries per shift.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medication verification and order entry workflows within Cerner, reducing order turnaround time by 30% through process standardization and cross-training of pharmacy technicians.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pharmacy operations and compliance by maintaining current knowledge of state and federal regulations, participating in formulary management, and assisting with policy updates aligned with regulatory requirements.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onboarding and mentoring four new pharmacy staff members, fostering a culture of teamwork and continuous improvement within a 12-person department.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a multidisciplinary antimicrobial stewardship committee, helping reduce broad-spectrum antibiotic utilization by 12% over two formulary review cycles.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adaptability across rotating shifts including nights and weekends, consistently meeting departmental productivity benchmarks during high-census periods.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Doctor of Pharmacy (Pharm.D.)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College of Pharmacy, State University </w:t>
      </w:r>
      <w:r>
        <w:rPr>
          <w:i/>
          <w:rFonts w:ascii="Calibri" w:hAnsi="Calibri"/>
          <w:sz w:val="22"/>
          <w:color w:val="1A1A1A"/>
        </w:rPr>
        <w:t xml:space="preserve">(Graduated with Honors)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 — Biological Sciences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LICENSURE &amp; 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Pharmacist License</w:t>
      </w:r>
      <w:r>
        <w:rPr>
          <w:rFonts w:ascii="Calibri" w:hAnsi="Calibri"/>
          <w:sz w:val="22"/>
          <w:color w:val="1A1A1A"/>
        </w:rPr>
        <w:t xml:space="preserve"> — Active, State Board of Pharmacy </w:t>
      </w:r>
      <w:r>
        <w:rPr>
          <w:i/>
          <w:rFonts w:ascii="Calibri" w:hAnsi="Calibri"/>
          <w:sz w:val="22"/>
          <w:color w:val="1A1A1A"/>
        </w:rPr>
        <w:t xml:space="preserve">(in good standing)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Board Certified Pharmacotherapy Specialist (BCPS)</w:t>
      </w:r>
      <w:r>
        <w:rPr>
          <w:rFonts w:ascii="Calibri" w:hAnsi="Calibri"/>
          <w:sz w:val="22"/>
          <w:color w:val="1A1A1A"/>
        </w:rPr>
        <w:t xml:space="preserve"> — Board of Pharmacy Specialties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Basic Life Support (BLS)</w:t>
      </w:r>
      <w:r>
        <w:rPr>
          <w:rFonts w:ascii="Calibri" w:hAnsi="Calibri"/>
          <w:sz w:val="22"/>
          <w:color w:val="1A1A1A"/>
        </w:rPr>
        <w:t xml:space="preserve"> — American Heart Association</w:t>
      </w:r>
    </w:p>
    <w:sectPr>
      <w:pgSz w:w="12240" w:h="15840"/>
      <w:pgMar w:top="720" w:right="720" w:bottom="720" w:left="720" w:header="720" w:footer="720" w:gutter="0"/>
    </w:sectPr>
  </w:body>
</w:document>
</file>