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9f0e1f40ba1b4c33"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Project Manager with 9+ years of experience overseeing complex construction and capital improvement projects from preconstruction planning through closeout. Proven track record managing multi-million-dollar budgets, coordinating subcontractor scopes, and delivering projects on schedule without compromising quality or safety. Skilled at navigating change orders, RFIs, and submittals while maintaining strong client relationships and stakeholder alignment. Known for clear risk communication, hands-on leadership, and building trust across cross-functional teams. Proficient in Procore, MS Project, and contract management software with a detail-oriented approach to project documentation and cost controls.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Project Management &amp; Scheduling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Budgeting &amp; Cost Tracking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Change Order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Contract &amp; Subcontract Administration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Risk Management &amp; Risk Communication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RFI &amp; Submittal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Vendor &amp; Subcontractor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Preconstruction Planning &amp; Estimating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Quality Assurance / Quality Control</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Safety &amp; OSHA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Stakeholder &amp; Client Relationship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Negotiation &amp; Conflict Resolution</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Tools:</w:t>
      </w:r>
      <w:r>
        <w:rPr>
          <w:rFonts w:ascii="Calibri" w:hAnsi="Calibri"/>
          <w:sz w:val="22"/>
          <w:color w:val="1A1A1A"/>
        </w:rPr>
        <w:t xml:space="preserve"> Procore, MS Project, Jira, ERP Systems, AIA Contract Administration Tools, Document Control Software, Bidding Platforms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Project Manager — Regional Commercial General Contractor (2019 – Present)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 portfolio of 4–6 concurrent commercial construction projects ranging from $2M to $18M, maintaining an average schedule adherence rate of 94% across all active projects.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preconstruction planning efforts including scope development, estimating, RFQ/RFP management, and subcontractor bid leveling, reducing procurement cycle time by 22%.</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Administered subcontracts and AIA contract documents for 30+ trade partners per project cycle, resolving scope disputes and processing change orders with an average turnaround of under 5 business days.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Procore-based document control workflows for RFIs and submittals, cutting response lag by 30% and improving field team accountability.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Enforced OSHA compliance and site safety protocols across all project sites, achieving zero recordable incidents over a 3-year period.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Mentored a team of 3 assistant project managers, providing coaching on cost controls, scheduling, and client communication best practices.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client satisfaction scores above 4.6/5.0 through proactive risk communication and consistent stakeholder updates.</w:t>
      </w:r>
    </w:p>
    <w:p>
      <w:pPr>
        <w:spacing w:before="120" w:after="20" w:line="254" w:lineRule="auto"/>
      </w:pPr>
      <w:r>
        <w:rPr>
          <w:b/>
          <w:rFonts w:ascii="Calibri" w:hAnsi="Calibri"/>
          <w:sz w:val="22"/>
          <w:color w:val="1A1A1A"/>
        </w:rPr>
        <w:t xml:space="preserve">Project Manager — Institutional Facilities Owner (Healthcare Sector) (2016 – 2019)</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Delivered 12 interior renovation and infrastructure upgrade projects totaling $24M in capital investment on time and within budget across active healthcare facilities.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managed detailed project schedules in MS Project, coordinating phased construction activities to minimize disruption to clinical operations.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Tracked budgets and cost reporting using an ERP system, identifying and resolving a $340K cost variance early through proactive vendor renegotiation and scope resequencing.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RFI/submittal logs and ensured timely quality assurance reviews, reducing punch list items at closeout by 35% compared to departmental baseline.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cross-functionally with facilities, infection control, and clinical leadership teams to align project milestones with operational constraints.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Negotiated subcontract terms and change order pricing, achieving an average cost savings of 8% against initial subcontractor proposals.</w:t>
      </w:r>
    </w:p>
    <w:p>
      <w:pPr>
        <w:spacing w:before="120" w:after="20" w:line="254" w:lineRule="auto"/>
      </w:pPr>
      <w:r>
        <w:rPr>
          <w:b/>
          <w:rFonts w:ascii="Calibri" w:hAnsi="Calibri"/>
          <w:sz w:val="22"/>
          <w:color w:val="1A1A1A"/>
        </w:rPr>
        <w:t xml:space="preserve">Assistant Project Manager — Mid-Size Civil &amp; Site Work Contractor (2014 – 2016)</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project management of 6 municipal infrastructure projects ranging from $500K to $4M, assisting with scheduling, subcontractor coordination, and project documentation.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RFI and submittal logs in construction management software, ensuring zero missed response deadlines across a 24-month period.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preparing monthly owner pay applications and tracking budget-to-actual cost performance using cost control spreadsheets and bidding platform data.</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with inspectors and quality control personnel to ensure work met specification requirements and local code compliance.</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Construction Management</w:t>
      </w:r>
    </w:p>
    <w:p>
      <w:pPr>
        <w:spacing w:before="0" w:after="60" w:line="254" w:lineRule="auto"/>
      </w:pPr>
      <w:r>
        <w:rPr>
          <w:rFonts w:ascii="Calibri" w:hAnsi="Calibri"/>
          <w:sz w:val="22"/>
          <w:color w:val="1A1A1A"/>
        </w:rPr>
        <w:t xml:space="preserve">State University — College of Engineering and Technology</w:t>
      </w:r>
    </w:p>
    <w:p>
      <w:pPr>
        <w:spacing w:before="80" w:after="80" w:line="254" w:lineRule="auto"/>
        <w:pBdr>
          <w:bottom w:val="single" w:color="BFBFBF" w:sz="6" w:space="1"/>
        </w:pBdr>
      </w:pPr>
    </w:p>
    <w:p>
      <w:pPr>
        <w:spacing w:before="0" w:after="60" w:line="254" w:lineRule="auto"/>
      </w:pPr>
      <w:r>
        <w:rPr>
          <w:b/>
          <w:rFonts w:ascii="Calibri" w:hAnsi="Calibri"/>
          <w:sz w:val="22"/>
          <w:color w:val="1A1A1A"/>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Project Management Professional (PMP) — Project Management Institute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30-Hour Construction Safety Certification</w:t>
      </w:r>
    </w:p>
    <w:sectPr>
      <w:pgSz w:w="12240" w:h="15840"/>
      <w:pgMar w:top="720" w:right="720" w:bottom="720" w:left="720" w:header="720" w:footer="720" w:gutter="0"/>
    </w:sectPr>
  </w:body>
</w:document>
</file>