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e03647ae2cb4be3"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recruiter with 5+ years of full-cycle recruiting experience across high-volume and professional-level hiring. Proven ability to manage multiple requisitions simultaneously in fast-paced environments while delivering an exceptional candidate experience from initial sourcing through onboarding. Skilled at building collaborative relationships with hiring managers through structured intake discussions, translating business needs into targeted talent acquisition strategies, and leveraging recruiting analytics to drive data-driven decision making. Committed to compliance with employment laws, maintaining confidentiality, and continuously developing robust talent pipelines that reduce time-to-fill and support long-term workforce planning.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Full-cycle recruiting &amp; high-volume recruiting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Sourcing &amp; proactive pipeline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Candidate screening, interviews &amp; offer/negotiation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ATS administration &amp; recruiting analytics/metrics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Compliance with employment laws &amp; HR policy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Intake discussions &amp; hiring manager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Candidate experience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Onboarding coordination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 &amp; relationship-building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Tools:</w:t>
      </w:r>
      <w:r>
        <w:rPr>
          <w:rFonts w:ascii="Calibri" w:hAnsi="Calibri"/>
          <w:sz w:val="22"/>
          <w:color w:val="1A1A1A"/>
        </w:rPr>
        <w:t xml:space="preserve"> LinkedIn Recruiter, Indeed, UKG Recruiting, Eightfold, TalentReef, Microsoft Copilot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Recruiter — Regional Healthcare System (2021 – 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 an average of 35–45 open requisitions simultaneously across clinical and administrative functions, consistently achieving time-to-fill targets 12% below department average through proactive sourcing and structured pipeline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 structured intake discussions with 20+ hiring managers to align on role requirements, ideal candidate profiles, and interview processes, reducing mis-hires by approximately 18% year-over-year.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Source passive and active candidates via LinkedIn Recruiter, Indeed, and Eightfold, building talent pipelines that decreased external agency spend by $60K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 full-cycle recruiting from job posting through offer negotiation and onboarding, ensuring a seamless candidate experience and maintaining a 4.6/5.0 candidate satisfaction score on post-hire surveys.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 UKG Recruiting and TalentReef ATS platforms, maintaining data integrity and generating weekly recruiting analytics reports presented to HR leadership to support data-driven decision making.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Ensure all hiring practices remain in compliance with employment laws including EEOC, OFCCP, and applicable state regulations, partnering with HR policy teams on documentation and audit readiness.</w:t>
      </w:r>
    </w:p>
    <w:p>
      <w:pPr>
        <w:spacing w:before="120" w:after="20" w:line="254" w:lineRule="auto"/>
      </w:pPr>
      <w:r>
        <w:rPr>
          <w:b/>
          <w:rFonts w:ascii="Calibri" w:hAnsi="Calibri"/>
          <w:sz w:val="22"/>
          <w:color w:val="1A1A1A"/>
        </w:rPr>
        <w:t xml:space="preserve">Corporate Recruiter — Multi-Location Retail &amp; Distribution Company (2019 – 2021)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high-volume recruiting initiatives, filling 300+ hourly and salaried positions annually across 12 locations while maintaining strong candidate experience standards throughout screening and interview stages.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operations and store leadership on intake discussions to understand seasonal workforce demands, enabling proactive talent pipeline management that reduced peak-season vacancy rates by 22%.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LinkedIn Recruiter and Indeed to source diverse candidate pools, improving underrepresented applicant flow by 15% within two hiring cycles.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offer and negotiation processes for exempt and non-exempt roles, achieving a 91% offer acceptance rate by aligning compensation benchmarks with market data.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Utilized Microsoft Copilot and ATS reporting tools to track pipeline metrics, identify sourcing channel effectiveness, and present monthly recruiting dashboards to senior stakeholders.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HR business partners on employee relations matters and onboarding workflows, ensuring new hires transitioned smoothly into their roles and reducing 90-day turnover by 10%.</w:t>
      </w:r>
    </w:p>
    <w:p>
      <w:pPr>
        <w:spacing w:before="120" w:after="20" w:line="254" w:lineRule="auto"/>
      </w:pPr>
      <w:r>
        <w:rPr>
          <w:b/>
          <w:rFonts w:ascii="Calibri" w:hAnsi="Calibri"/>
          <w:sz w:val="22"/>
          <w:color w:val="1A1A1A"/>
        </w:rPr>
        <w:t xml:space="preserve">Recruiting Coordinator — Professional Services Firm (2017 – 2019)</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a team of four recruiters managing 60+ active requisitions, scheduling interviews, maintaining ATS records, and coordinating onboarding logistics for 150+ hires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candidate screening and phone interviews for entry-level and administrative roles, developing foundational skills in relationship-building and stakeholder communication.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strict confidentiality of candidate and compensation data in accordance with company policy and applicable employment laws.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Human Resource Management</w:t>
      </w:r>
    </w:p>
    <w:p>
      <w:pPr>
        <w:spacing w:before="0" w:after="60" w:line="254" w:lineRule="auto"/>
      </w:pPr>
      <w:r>
        <w:rPr>
          <w:rFonts w:ascii="Calibri" w:hAnsi="Calibri"/>
          <w:sz w:val="22"/>
          <w:color w:val="1A1A1A"/>
        </w:rPr>
        <w:t xml:space="preserve">State University — Midwest Campus</w:t>
      </w:r>
    </w:p>
    <w:p>
      <w:pPr>
        <w:spacing w:before="80" w:after="80" w:line="254" w:lineRule="auto"/>
        <w:pBdr>
          <w:bottom w:val="single" w:color="BFBFBF" w:sz="6" w:space="1"/>
        </w:pBdr>
      </w:pPr>
    </w:p>
    <w:p>
      <w:pPr>
        <w:spacing w:before="0" w:after="60" w:line="254" w:lineRule="auto"/>
      </w:pPr>
      <w:r>
        <w:rPr>
          <w:b/>
          <w:rFonts w:ascii="Calibri" w:hAnsi="Calibri"/>
          <w:sz w:val="22"/>
          <w:color w:val="1A1A1A"/>
        </w:rPr>
        <w:t xml:space="preserve">SHRM-CP</w:t>
      </w:r>
      <w:r>
        <w:rPr>
          <w:rFonts w:ascii="Calibri" w:hAnsi="Calibri"/>
          <w:sz w:val="22"/>
          <w:color w:val="1A1A1A"/>
        </w:rPr>
        <w:t xml:space="preserve"> — Society for Human Resource Management</w:t>
      </w:r>
    </w:p>
    <w:p>
      <w:pPr>
        <w:spacing w:before="0" w:after="60" w:line="254" w:lineRule="auto"/>
      </w:pPr>
      <w:r>
        <w:rPr>
          <w:b/>
          <w:rFonts w:ascii="Calibri" w:hAnsi="Calibri"/>
          <w:sz w:val="22"/>
          <w:color w:val="1A1A1A"/>
        </w:rPr>
        <w:t xml:space="preserve">LinkedIn Recruiter Certification</w:t>
      </w:r>
      <w:r>
        <w:rPr>
          <w:rFonts w:ascii="Calibri" w:hAnsi="Calibri"/>
          <w:sz w:val="22"/>
          <w:color w:val="1A1A1A"/>
        </w:rPr>
        <w:t xml:space="preserve"> — LinkedIn Learning</w:t>
      </w:r>
    </w:p>
    <w:sectPr>
      <w:pgSz w:w="12240" w:h="15840"/>
      <w:pgMar w:top="720" w:right="720" w:bottom="720" w:left="720" w:header="720" w:footer="720" w:gutter="0"/>
    </w:sectPr>
  </w:body>
</w:document>
</file>