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cc60d355ec7148ec"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Hands-on Robotics Engineer with 6+ years of experience designing, programming, and integrating industrial robotic systems across automotive, consumer electronics, and logistics manufacturing environments. Proven track record deploying FANUC, ABB, and Universal Robots (UR) platforms with seamless PLC integration, machine vision, and custom end-of-arm tooling. Adept at bridging mechanical design, controls engineering, and software development to deliver reliable, high-throughput automation solutions. Skilled in both offline simulation and live commissioning, with a strong focus on root cause analysis and continuous uptime improvement.</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Industrial robotics programming &amp; integration: FANUC, ABB, KUKA, Universal Robots (UR)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PLC programming &amp; industrial automation controls (Allen-Bradley, Siemens)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Machine vision systems: Cognex, Keyence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Robot simulation: RobotStudio, RoboGuide, Gazebo, NVIDIA Isaac Sim</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ROS / ROS2 development (C++, Python)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CAN bus communication: CANalyzer, SocketCAN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Sensors &amp; actuators integration; end-of-arm tooling (EOAT) and conveyor systems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CAD design: SolidWorks, AutoCAD</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Troubleshooting, root cause analysis, and FMEA</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Offline/online simulation and cycle-time optimization</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Senior Robotics Engineer — Tier-1 Automotive Components Manufacturer (4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Led end-to-end integration of 14 FANUC M-20iD and ABB IRB 6700 robots across two assembly lines, reducing manual labor hours by 38% and achieving a 99.1% uptime rate within six months of commissioning.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and validated offline simulation programs in RoboGuide and RobotStudio prior to installation, cutting on-site commissioning time by an average of 22% per cell.</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Designed and specified custom EOAT fixtures in SolidWorks for mixed-part gripping applications, eliminating a recurring part-drop defect that had caused ~$180K in annual scrap costs.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Integrated Cognex In-Sight vision systems for weld seam inspection and part presence verification, achieving a false-reject rate below 0.3%.</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controls team to program Allen-Bradley PLCs and configure conveyor sequencing logic, ensuring safe and synchronized robot-to-conveyor handoffs.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Conducted structured root cause analysis following three unplanned stoppages, implementing corrective actions that reduced mean time to repair (MTTR) by 31%.</w:t>
      </w:r>
    </w:p>
    <w:p>
      <w:pPr>
        <w:spacing w:before="120" w:after="20" w:line="254" w:lineRule="auto"/>
      </w:pPr>
      <w:r>
        <w:rPr>
          <w:b/>
          <w:rFonts w:ascii="Calibri" w:hAnsi="Calibri"/>
          <w:sz w:val="22"/>
          <w:color w:val="1A1A1A"/>
        </w:rPr>
        <w:t xml:space="preserve">Robotics Engineer — Contract Automation Integrator serving E-Commerce &amp; Logistics Clients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Programmed and commissioned Universal Robots UR10e and UR16e collaborative robots for palletizing and pick-and-place applications at three distribution center deployments.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Implemented ROS2-based perception pipelines using depth cameras and Keyence laser profilers for dynamic bin-picking, improving pick success rate from 84% to 96% across varied SKU geometries.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CAN bus communication interfaces using SocketCAN and validated signal integrity with CANalyzer for custom actuator feedback loops on conveyor divert systems.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Built prototype simulation environments in Gazebo and NVIDIA Isaac Sim to validate robot paths and collision zones before hardware delivery, reducing rework requests by 18%.</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Produced detailed AutoCAD layout drawings and wiring schematics for each cell, serving as primary technical documentation for client handoff and maintenance teams.</w:t>
      </w:r>
    </w:p>
    <w:p>
      <w:pPr>
        <w:spacing w:before="120" w:after="20" w:line="254" w:lineRule="auto"/>
      </w:pPr>
      <w:r>
        <w:rPr>
          <w:b/>
          <w:rFonts w:ascii="Calibri" w:hAnsi="Calibri"/>
          <w:sz w:val="22"/>
          <w:color w:val="1A1A1A"/>
        </w:rPr>
        <w:t xml:space="preserve">Junior Robotics Engineer — Regional Industrial Equipment Manufacturer (1 year)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senior engineers in programming KUKA KR AGILUS robots for precision fastening and assembly tasks, gaining hands-on experience with KUKA WorkVisual and KRL scripting.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sensors and actuators integration for force-torque feedback applications, contributing to a torque-monitoring system that flagged fastener anomalies with 97% accuracy.</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Created SolidWorks models for EOAT brackets and performed tolerance stack-up analysis to ensure repeatable part engagement across a 10,000-unit daily production volume.</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Mechanical Engineering — State University</w:t>
      </w:r>
    </w:p>
    <w:p>
      <w:pPr>
        <w:spacing w:before="0" w:after="60" w:line="254" w:lineRule="auto"/>
      </w:pPr>
      <w:r>
        <w:rPr>
          <w:rFonts w:ascii="Calibri" w:hAnsi="Calibri"/>
          <w:sz w:val="22"/>
          <w:color w:val="1A1A1A"/>
        </w:rPr>
        <w:t xml:space="preserve">Concentration in Robotics &amp; Mechatronics | Graduated with Honors</w:t>
      </w:r>
    </w:p>
    <w:p>
      <w:pPr>
        <w:spacing w:before="80" w:after="80" w:line="254" w:lineRule="auto"/>
        <w:pBdr>
          <w:bottom w:val="single" w:color="BFBFBF" w:sz="6" w:space="1"/>
        </w:pBdr>
      </w:pPr>
    </w:p>
    <w:p>
      <w:pPr>
        <w:spacing w:before="0" w:after="60" w:line="254" w:lineRule="auto"/>
      </w:pPr>
      <w:r>
        <w:rPr>
          <w:b/>
          <w:rFonts w:ascii="Calibri" w:hAnsi="Calibri"/>
          <w:sz w:val="22"/>
          <w:color w:val="1A1A1A"/>
        </w:rPr>
        <w:t xml:space="preserve">Certified Robot Integrator (CRI) — Robotic Industries Association (RIA)</w:t>
      </w:r>
    </w:p>
    <w:p>
      <w:pPr>
        <w:spacing w:before="0" w:after="60" w:line="254" w:lineRule="auto"/>
      </w:pPr>
      <w:r>
        <w:rPr>
          <w:b/>
          <w:rFonts w:ascii="Calibri" w:hAnsi="Calibri"/>
          <w:sz w:val="22"/>
          <w:color w:val="1A1A1A"/>
        </w:rPr>
        <w:t xml:space="preserve">FANUC Handling Tool Operations &amp; Programming Certificate</w:t>
      </w:r>
    </w:p>
    <w:p>
      <w:pPr>
        <w:spacing w:before="0" w:after="60" w:line="254" w:lineRule="auto"/>
      </w:pPr>
      <w:r>
        <w:rPr>
          <w:b/>
          <w:rFonts w:ascii="Calibri" w:hAnsi="Calibri"/>
          <w:sz w:val="22"/>
          <w:color w:val="1A1A1A"/>
        </w:rPr>
        <w:t xml:space="preserve">Universal Robots Core Track Certification (UR Academy)</w:t>
      </w:r>
    </w:p>
    <w:sectPr>
      <w:pgSz w:w="12240" w:h="15840"/>
      <w:pgMar w:top="720" w:right="720" w:bottom="720" w:left="720" w:header="720" w:footer="720" w:gutter="0"/>
    </w:sectPr>
  </w:body>
</w:document>
</file>