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645d5856e40af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Motivated and results-driven Sales Associate with 4+ years of experience delivering exceptional customer service in fast-paced retail environments. Proven ability to drive retail sales, build lasting customer relationships, and consistently meet or exceed individual and team sales targets. Skilled in merchandising, inventory management, and point-of-sale operations, with a strong foundation in lead generation and lead follow-up. Recognized for outstanding communication skills, adaptability, and a collaborative approach that contributes to a positive store culture and measurable revenue growth.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Retail Sales &amp; Customer Service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Point of Sale (POS) Systems Operation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Inventory Management &amp; Merchandising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Lead Generation &amp; Lead Follow-up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Cash Handling &amp; Transaction Accuracy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CRM Platform Utilization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Microsoft Office / MS Office Suite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Relationship Building &amp; Interpersonal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Time Management &amp; Multitasking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Verbal &amp; Written Communication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Problem Solving &amp; Conflict Resolution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Collaboration &amp; Teamwork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Attention to Detail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Organizational Skills &amp; Adaptability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Sales Associate — Specialty Retail Chain (2022 – Present)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Consistently achieved 108% of monthly sales quota by leveraging consultative selling techniques and proactive lead follow-up, contributing to a 12% year-over-year revenue increase for the department.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Processed an average of 80+ customer transactions daily using POS systems, maintaining a cash handling accuracy rate of 99.7% over two consecutive annual audits.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Supported merchandising resets and seasonal floor changes for a 6,000 sq. ft. sales floor, reducing product placement time by 15% through improved organizational workflows.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Managed inventory counts and restocking cycles, identifying and resolving stock discrepancies that reduced shrinkage by approximately 8% within the first six months.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Built and maintained a personal client book of 150+ repeat customers, driving a measurable increase in return visit frequency and average transaction value.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Collaborated with a team of 12 associates and floor supervisors to meet daily store goals, maintaining high standards of customer service during peak traffic periods.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Sales Associate — Home Goods &amp; Furniture Retailer (2020 – 2022)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Generated new leads through in-store engagement and community referral programs, contributing to a 20% increase in qualified customer contacts tracked within the store's CRM platform.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Assisted customers through the full sales cycle — from initial product discovery to post-purchase follow-up — resulting in a 94% customer satisfaction rating on post-transaction surveys.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Executed weekly merchandising updates and promotional displays that improved featured product sell-through rates by an average of 18% per campaign.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Trained two newly hired associates on POS operations, cash handling procedures, and customer service standards, reducing onboarding time by approximately one week per trainee.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Managed multiple customer interactions simultaneously during high-volume weekends, demonstrating strong multitasking and time management skills without sacrificing service quality.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Retail Sales Representative — Consumer Electronics Boutique (2019 – 2020)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Exceeded individual sales targets by an average of 11% per quarter by identifying customer needs and recommending appropriate product solutions.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Maintained accurate product knowledge across 200+ SKUs, enabling confident and informative verbal communication with customers at all experience levels.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Utilized Microsoft Office tools to prepare weekly sales tracking reports shared with store management, supporting data-driven decisions on inventory and promotional planning.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Resolved customer complaints and product return issues with professionalism and problem-solving focus, achieving a first-contact resolution rate of over 90%.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Associate of Applied Science, Business Administration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Community College — Graduated 2019</w:t>
      </w:r>
    </w:p>
    <w:sectPr>
      <w:pgSz w:w="12240" w:h="15840"/>
      <w:pgMar w:top="720" w:right="720" w:bottom="720" w:left="720" w:header="720" w:footer="720" w:gutter="0"/>
    </w:sectPr>
  </w:body>
</w:document>
</file>