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f8e041043344f05"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Senior Financial Analyst with 7+ years of progressive experience in financial planning and analysis, business partnering, and operational analytics across manufacturing and technology sectors. Proven ability to translate complex financial data into actionable insights that drive strategic decision-making at the executive level. Deep expertise in budgeting, forecasting, variance analysis, and financial modeling, paired with a collaborative approach to cross-functional stakeholder management. Adept at building scalable reporting frameworks and presenting findings to senior leadership with clarity and precision.</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Budgeting &amp; Forecasting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Financial Modeling &amp; Scenario Modeling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Variance Analysis &amp; EBITDA Analysis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P&amp;L Management &amp; Cost Analysis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Month-End Close &amp; GAAP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Cash Flow Forecasting &amp; Capex Planning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Financial Reporting &amp; Internal Controls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Operational &amp; Financial Analytics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Management &amp; Business Partnering</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Tools:</w:t>
      </w:r>
      <w:r>
        <w:rPr>
          <w:rFonts w:ascii="Calibri" w:hAnsi="Calibri"/>
          <w:sz w:val="22"/>
          <w:color w:val="1A1A1A"/>
        </w:rPr>
        <w:t xml:space="preserve"> Excel (advanced), PowerPoint, Workday Financials, Adaptive Planning, Tableau, Power BI, ERP systems, cloud data platforms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Financial Analyst — Mid-Market Industrial Manufacturing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Owned the annual budgeting and rolling 12-month forecasting cycle for a $280M business unit, coordinating inputs across six departments and reducing cycle time by 20% through Adaptive Planning workflow improvements.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 dynamic financial modeling suite in Excel covering scenario modeling, cash flow forecasting, and capex planning, enabling leadership to evaluate three major capital investment decisions totaling $45M.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Delivered monthly P&amp;L management reporting and variance analysis packages to the CFO and VP of Operations, consistently identifying cost drivers and surfacing $3.2M in annualized savings opportunities over two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supply chain and operations teams on cost analysis initiatives, developing Power BI dashboards that reduced ad hoc reporting requests by 35%.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month-end close process and ensured GAAP compliance across all management reporting deliverables, maintaining zero material audit findings for three consecutive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Presented EBITDA analysis and operational analytics summaries to the executive leadership team on a quarterly basis, translating data into insights that informed pricing and headcount strategy.</w:t>
      </w:r>
    </w:p>
    <w:p>
      <w:pPr>
        <w:spacing w:before="120" w:after="20" w:line="254" w:lineRule="auto"/>
      </w:pPr>
      <w:r>
        <w:rPr>
          <w:b/>
          <w:rFonts w:ascii="Calibri" w:hAnsi="Calibri"/>
          <w:sz w:val="22"/>
          <w:color w:val="1A1A1A"/>
        </w:rPr>
        <w:t xml:space="preserve">Financial Analyst — Regional Healthcare System (2.5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financial reporting for a $95M operating budget across four clinical service lines, producing monthly variance analysis reports distributed to department directors and C-suite stakeholders.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and maintained financial models in Excel and Workday Financials to support capital budgeting requests, improving approval documentation quality and reducing revision cycles by 25%.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HR, IT, and procurement to align cost analysis findings with operational planning, contributing to a $1.8M reduction in non-clinical overhead.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Automated recurring reporting workflows using Tableau, cutting manual preparation time by 10 hours per month and improving data accuracy across BI platforms.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the implementation of internal controls improvements that strengthened financial reporting integrity ahead of a system-wide external audit.</w:t>
      </w:r>
    </w:p>
    <w:p>
      <w:pPr>
        <w:spacing w:before="120" w:after="20" w:line="254" w:lineRule="auto"/>
      </w:pPr>
      <w:r>
        <w:rPr>
          <w:b/>
          <w:rFonts w:ascii="Calibri" w:hAnsi="Calibri"/>
          <w:sz w:val="22"/>
          <w:color w:val="1A1A1A"/>
        </w:rPr>
        <w:t xml:space="preserve">Junior Financial Analyst — Series-B SaaS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FP&amp;A team in building monthly forecasting models and scenario analyses to project ARR, churn, and gross margin across three product lines.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Prepared executive-ready PowerPoint presentations summarizing financial analytics and business performance for board and investor meetings.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month-end close activities and reconciliation processes, ensuring accuracy of financial data within the company's ERP and CRM systems.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a cash flow forecasting model that improved 13-week visibility and helped the company maintain a minimum 6-month cash runway during a period of rapid growth.</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Finance</w:t>
      </w:r>
    </w:p>
    <w:p>
      <w:pPr>
        <w:spacing w:before="0" w:after="60" w:line="254" w:lineRule="auto"/>
      </w:pPr>
      <w:r>
        <w:rPr>
          <w:rFonts w:ascii="Calibri" w:hAnsi="Calibri"/>
          <w:sz w:val="22"/>
          <w:color w:val="1A1A1A"/>
        </w:rPr>
        <w:t xml:space="preserve">State University — College of Business Administration</w:t>
      </w:r>
    </w:p>
    <w:p>
      <w:pPr>
        <w:spacing w:before="0" w:after="60" w:line="254" w:lineRule="auto"/>
      </w:pPr>
      <w:r>
        <w:rPr>
          <w:b/>
          <w:rFonts w:ascii="Calibri" w:hAnsi="Calibri"/>
          <w:sz w:val="22"/>
          <w:color w:val="1A1A1A"/>
        </w:rPr>
        <w:t xml:space="preserve">Master of Business Administration (MBA), Concentration in Corporate Finance</w:t>
      </w:r>
    </w:p>
    <w:p>
      <w:pPr>
        <w:spacing w:before="0" w:after="60" w:line="254" w:lineRule="auto"/>
      </w:pPr>
      <w:r>
        <w:rPr>
          <w:rFonts w:ascii="Calibri" w:hAnsi="Calibri"/>
          <w:sz w:val="22"/>
          <w:color w:val="1A1A1A"/>
        </w:rPr>
        <w:t xml:space="preserve">Regional Private University</w:t>
      </w:r>
    </w:p>
    <w:p>
      <w:pPr>
        <w:spacing w:before="80" w:after="80" w:line="254" w:lineRule="auto"/>
        <w:pBdr>
          <w:bottom w:val="single" w:color="BFBFBF" w:sz="6" w:space="1"/>
        </w:pBdr>
      </w:pPr>
    </w:p>
    <w:p>
      <w:pPr>
        <w:spacing w:before="0" w:after="60" w:line="254" w:lineRule="auto"/>
      </w:pPr>
      <w:r>
        <w:rPr>
          <w:b/>
          <w:rFonts w:ascii="Calibri" w:hAnsi="Calibri"/>
          <w:sz w:val="22"/>
          <w:color w:val="1A1A1A"/>
        </w:rPr>
        <w:t xml:space="preserve">Certifications: </w:t>
      </w:r>
      <w:r>
        <w:rPr>
          <w:rFonts w:ascii="Calibri" w:hAnsi="Calibri"/>
          <w:sz w:val="22"/>
          <w:color w:val="1A1A1A"/>
        </w:rPr>
        <w:t xml:space="preserve">Chartered Financial Analyst (CFA) Level II Candidate | Financial Modeling &amp; Valuation Analyst (FMVA), Corporate Finance Institute</w:t>
      </w:r>
    </w:p>
    <w:sectPr>
      <w:pgSz w:w="12240" w:h="15840"/>
      <w:pgMar w:top="720" w:right="720" w:bottom="720" w:left="720" w:header="720" w:footer="720" w:gutter="0"/>
    </w:sectPr>
  </w:body>
</w:document>
</file>