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c225e087ea74d06" /></Relationships>
</file>

<file path=word/document.xml><?xml version="1.0" encoding="utf-8"?>
<w:document xmlns:w="http://schemas.openxmlformats.org/wordprocessingml/2006/main">
  <w:body>
    <w:p>
      <w:pPr>
        <w:spacing w:before="0" w:after="40" w:line="254" w:lineRule="auto"/>
        <w:jc w:val="center"/>
      </w:pPr>
      <w:r>
        <w:rPr>
          <w:b/>
          <w:rFonts w:ascii="Calibri" w:hAnsi="Calibri"/>
          <w:sz w:val="44"/>
          <w:color w:val="1F4E79"/>
          <w:spacing w:val="30"/>
        </w:rPr>
        <w:t xml:space="preserve">[YOUR NAME]</w:t>
      </w:r>
    </w:p>
    <w:p>
      <w:pPr>
        <w:spacing w:before="0" w:after="60" w:line="254" w:lineRule="auto"/>
      </w:pPr>
      <w:r>
        <w:rPr>
          <w:rFonts w:ascii="Calibri" w:hAnsi="Calibri"/>
          <w:sz w:val="22"/>
          <w:color w:val="1A1A1A"/>
        </w:rPr>
        <w:t xml:space="preserve">[City, State] · [email@example.com] · [phone] · [linkedin.com/in/you]</w:t>
      </w:r>
    </w:p>
    <w:p>
      <w:pPr>
        <w:spacing w:before="200" w:after="80" w:line="254" w:lineRule="auto"/>
        <w:pBdr>
          <w:bottom w:val="single" w:color="BFBFBF" w:sz="6" w:space="2"/>
        </w:pBdr>
      </w:pPr>
      <w:r>
        <w:rPr>
          <w:b/>
          <w:rFonts w:ascii="Calibri" w:hAnsi="Calibri"/>
          <w:sz w:val="24"/>
          <w:color w:val="1F4E79"/>
        </w:rPr>
        <w:t xml:space="preserve">PROFESSIONAL SUMMARY</w:t>
      </w:r>
    </w:p>
    <w:p>
      <w:pPr>
        <w:spacing w:before="0" w:after="60" w:line="254" w:lineRule="auto"/>
      </w:pPr>
      <w:r>
        <w:rPr>
          <w:rFonts w:ascii="Calibri" w:hAnsi="Calibri"/>
          <w:sz w:val="22"/>
          <w:color w:val="1A1A1A"/>
        </w:rPr>
        <w:t xml:space="preserve">Results-driven Senior Software Architect with 12+ years of experience designing and delivering scalable, cloud-native systems across enterprise and regulated environments. Proven track record leading microservices architecture initiatives, establishing API-first development standards, and embedding DevSecOps practices into end-to-end delivery pipelines. Adept at guiding cross-functional engineering teams through architecture governance, design reviews, and Agile delivery cycles. Deep expertise spanning AWS, Azure, and GCP platforms, with hands-on experience integrating AI/ML workloads, LLM inference pipelines, and MLOps frameworks into production-grade architectures. Committed to building secure, observable, and highly reliable systems that align technical strategy with business outcomes.</w:t>
      </w:r>
    </w:p>
    <w:p>
      <w:pPr>
        <w:spacing w:before="80" w:after="80" w:line="254" w:lineRule="auto"/>
        <w:pBdr>
          <w:bottom w:val="single" w:color="BFBFBF" w:sz="6" w:space="1"/>
        </w:pBdr>
      </w:pPr>
    </w:p>
    <w:p>
      <w:pPr>
        <w:spacing w:before="200" w:after="80" w:line="254" w:lineRule="auto"/>
        <w:pBdr>
          <w:bottom w:val="single" w:color="BFBFBF" w:sz="6" w:space="2"/>
        </w:pBdr>
      </w:pPr>
      <w:r>
        <w:rPr>
          <w:b/>
          <w:rFonts w:ascii="Calibri" w:hAnsi="Calibri"/>
          <w:sz w:val="24"/>
          <w:color w:val="1F4E79"/>
        </w:rPr>
        <w:t xml:space="preserve">KEY SKILLS</w:t>
      </w:r>
    </w:p>
    <w:p>
      <w:pPr>
        <w:spacing w:before="120" w:after="120" w:line="240" w:lineRule="atLeast"/>
        <w:tabs>
          <w:tab w:val="left" w:pos="360"/>
        </w:tabs>
        <w:ind w:left="360" w:hanging="360"/>
      </w:pPr>
      <w:r>
        <w:rPr>
          <w:rFonts w:ascii="Calibri" w:hAnsi="Calibri"/>
          <w:sz w:val="22"/>
          <w:color w:val="1A1A1A"/>
        </w:rPr>
        <w:t xml:space="preserve">•</w:t>
        <w:tab/>
      </w:r>
      <w:r>
        <w:rPr>
          <w:b/>
          <w:rFonts w:ascii="Calibri" w:hAnsi="Calibri"/>
          <w:sz w:val="22"/>
          <w:color w:val="1A1A1A"/>
        </w:rPr>
        <w:t xml:space="preserve">Architecture &amp; Design:</w:t>
      </w:r>
      <w:r>
        <w:rPr>
          <w:rFonts w:ascii="Calibri" w:hAnsi="Calibri"/>
          <w:sz w:val="22"/>
          <w:color w:val="1A1A1A"/>
        </w:rPr>
        <w:t xml:space="preserve"> Cloud-Native Architecture, Microservices Architecture, API-First Development, RESTful APIs, Event-Driven Design</w:t>
      </w:r>
    </w:p>
    <w:p>
      <w:pPr>
        <w:spacing w:before="120" w:after="120" w:line="240" w:lineRule="atLeast"/>
        <w:tabs>
          <w:tab w:val="left" w:pos="360"/>
        </w:tabs>
        <w:ind w:left="360" w:hanging="360"/>
      </w:pPr>
      <w:r>
        <w:rPr>
          <w:rFonts w:ascii="Calibri" w:hAnsi="Calibri"/>
          <w:sz w:val="22"/>
          <w:color w:val="1A1A1A"/>
        </w:rPr>
        <w:t xml:space="preserve">•</w:t>
        <w:tab/>
      </w:r>
      <w:r>
        <w:rPr>
          <w:b/>
          <w:rFonts w:ascii="Calibri" w:hAnsi="Calibri"/>
          <w:sz w:val="22"/>
          <w:color w:val="1A1A1A"/>
        </w:rPr>
        <w:t xml:space="preserve">Cloud Platforms:</w:t>
      </w:r>
      <w:r>
        <w:rPr>
          <w:rFonts w:ascii="Calibri" w:hAnsi="Calibri"/>
          <w:sz w:val="22"/>
          <w:color w:val="1A1A1A"/>
        </w:rPr>
        <w:t xml:space="preserve"> AWS, Azure, GCP</w:t>
      </w:r>
    </w:p>
    <w:p>
      <w:pPr>
        <w:spacing w:before="120" w:after="120" w:line="240" w:lineRule="atLeast"/>
        <w:tabs>
          <w:tab w:val="left" w:pos="360"/>
        </w:tabs>
        <w:ind w:left="360" w:hanging="360"/>
      </w:pPr>
      <w:r>
        <w:rPr>
          <w:rFonts w:ascii="Calibri" w:hAnsi="Calibri"/>
          <w:sz w:val="22"/>
          <w:color w:val="1A1A1A"/>
        </w:rPr>
        <w:t xml:space="preserve">•</w:t>
        <w:tab/>
      </w:r>
      <w:r>
        <w:rPr>
          <w:b/>
          <w:rFonts w:ascii="Calibri" w:hAnsi="Calibri"/>
          <w:sz w:val="22"/>
          <w:color w:val="1A1A1A"/>
        </w:rPr>
        <w:t xml:space="preserve">AI/ML &amp; MLOps:</w:t>
      </w:r>
      <w:r>
        <w:rPr>
          <w:rFonts w:ascii="Calibri" w:hAnsi="Calibri"/>
          <w:sz w:val="22"/>
          <w:color w:val="1A1A1A"/>
        </w:rPr>
        <w:t xml:space="preserve"> LLM Inference Pipelines, ML Workload Orchestration, MLOps Lifecycle Management</w:t>
      </w:r>
    </w:p>
    <w:p>
      <w:pPr>
        <w:spacing w:before="120" w:after="120" w:line="240" w:lineRule="atLeast"/>
        <w:tabs>
          <w:tab w:val="left" w:pos="360"/>
        </w:tabs>
        <w:ind w:left="360" w:hanging="360"/>
      </w:pPr>
      <w:r>
        <w:rPr>
          <w:rFonts w:ascii="Calibri" w:hAnsi="Calibri"/>
          <w:sz w:val="22"/>
          <w:color w:val="1A1A1A"/>
        </w:rPr>
        <w:t xml:space="preserve">•</w:t>
        <w:tab/>
      </w:r>
      <w:r>
        <w:rPr>
          <w:b/>
          <w:rFonts w:ascii="Calibri" w:hAnsi="Calibri"/>
          <w:sz w:val="22"/>
          <w:color w:val="1A1A1A"/>
        </w:rPr>
        <w:t xml:space="preserve">Security &amp; Compliance:</w:t>
      </w:r>
      <w:r>
        <w:rPr>
          <w:rFonts w:ascii="Calibri" w:hAnsi="Calibri"/>
          <w:sz w:val="22"/>
          <w:color w:val="1A1A1A"/>
        </w:rPr>
        <w:t xml:space="preserve"> DevSecOps, Secure Coding Practices, RMF, STIG Compliance, SonarQube</w:t>
      </w:r>
    </w:p>
    <w:p>
      <w:pPr>
        <w:spacing w:before="120" w:after="120" w:line="240" w:lineRule="atLeast"/>
        <w:tabs>
          <w:tab w:val="left" w:pos="360"/>
        </w:tabs>
        <w:ind w:left="360" w:hanging="360"/>
      </w:pPr>
      <w:r>
        <w:rPr>
          <w:rFonts w:ascii="Calibri" w:hAnsi="Calibri"/>
          <w:sz w:val="22"/>
          <w:color w:val="1A1A1A"/>
        </w:rPr>
        <w:t xml:space="preserve">•</w:t>
        <w:tab/>
      </w:r>
      <w:r>
        <w:rPr>
          <w:b/>
          <w:rFonts w:ascii="Calibri" w:hAnsi="Calibri"/>
          <w:sz w:val="22"/>
          <w:color w:val="1A1A1A"/>
        </w:rPr>
        <w:t xml:space="preserve">Infrastructure &amp; DevOps:</w:t>
      </w:r>
      <w:r>
        <w:rPr>
          <w:rFonts w:ascii="Calibri" w:hAnsi="Calibri"/>
          <w:sz w:val="22"/>
          <w:color w:val="1A1A1A"/>
        </w:rPr>
        <w:t xml:space="preserve"> Kubernetes, Containerization, GitLab CI/CD, Infrastructure as Code</w:t>
      </w:r>
    </w:p>
    <w:p>
      <w:pPr>
        <w:spacing w:before="120" w:after="120" w:line="240" w:lineRule="atLeast"/>
        <w:tabs>
          <w:tab w:val="left" w:pos="360"/>
        </w:tabs>
        <w:ind w:left="360" w:hanging="360"/>
      </w:pPr>
      <w:r>
        <w:rPr>
          <w:rFonts w:ascii="Calibri" w:hAnsi="Calibri"/>
          <w:sz w:val="22"/>
          <w:color w:val="1A1A1A"/>
        </w:rPr>
        <w:t xml:space="preserve">•</w:t>
        <w:tab/>
      </w:r>
      <w:r>
        <w:rPr>
          <w:b/>
          <w:rFonts w:ascii="Calibri" w:hAnsi="Calibri"/>
          <w:sz w:val="22"/>
          <w:color w:val="1A1A1A"/>
        </w:rPr>
        <w:t xml:space="preserve">Languages &amp; Frameworks:</w:t>
      </w:r>
      <w:r>
        <w:rPr>
          <w:rFonts w:ascii="Calibri" w:hAnsi="Calibri"/>
          <w:sz w:val="22"/>
          <w:color w:val="1A1A1A"/>
        </w:rPr>
        <w:t xml:space="preserve"> Java Enterprise, Python, Spring Boot</w:t>
      </w:r>
    </w:p>
    <w:p>
      <w:pPr>
        <w:spacing w:before="120" w:after="120" w:line="240" w:lineRule="atLeast"/>
        <w:tabs>
          <w:tab w:val="left" w:pos="360"/>
        </w:tabs>
        <w:ind w:left="360" w:hanging="360"/>
      </w:pPr>
      <w:r>
        <w:rPr>
          <w:rFonts w:ascii="Calibri" w:hAnsi="Calibri"/>
          <w:sz w:val="22"/>
          <w:color w:val="1A1A1A"/>
        </w:rPr>
        <w:t xml:space="preserve">•</w:t>
        <w:tab/>
      </w:r>
      <w:r>
        <w:rPr>
          <w:b/>
          <w:rFonts w:ascii="Calibri" w:hAnsi="Calibri"/>
          <w:sz w:val="22"/>
          <w:color w:val="1A1A1A"/>
        </w:rPr>
        <w:t xml:space="preserve">Data:</w:t>
      </w:r>
      <w:r>
        <w:rPr>
          <w:rFonts w:ascii="Calibri" w:hAnsi="Calibri"/>
          <w:sz w:val="22"/>
          <w:color w:val="1A1A1A"/>
        </w:rPr>
        <w:t xml:space="preserve"> PostgreSQL, Relational Database Design, Data Modeling</w:t>
      </w:r>
    </w:p>
    <w:p>
      <w:pPr>
        <w:spacing w:before="120" w:after="120" w:line="240" w:lineRule="atLeast"/>
        <w:tabs>
          <w:tab w:val="left" w:pos="360"/>
        </w:tabs>
        <w:ind w:left="360" w:hanging="360"/>
      </w:pPr>
      <w:r>
        <w:rPr>
          <w:rFonts w:ascii="Calibri" w:hAnsi="Calibri"/>
          <w:sz w:val="22"/>
          <w:color w:val="1A1A1A"/>
        </w:rPr>
        <w:t xml:space="preserve">•</w:t>
        <w:tab/>
      </w:r>
      <w:r>
        <w:rPr>
          <w:b/>
          <w:rFonts w:ascii="Calibri" w:hAnsi="Calibri"/>
          <w:sz w:val="22"/>
          <w:color w:val="1A1A1A"/>
        </w:rPr>
        <w:t xml:space="preserve">Observability &amp; Reliability:</w:t>
      </w:r>
      <w:r>
        <w:rPr>
          <w:rFonts w:ascii="Calibri" w:hAnsi="Calibri"/>
          <w:sz w:val="22"/>
          <w:color w:val="1A1A1A"/>
        </w:rPr>
        <w:t xml:space="preserve"> Distributed Tracing, Metrics &amp; Alerting, SLO/SLA Governance</w:t>
      </w:r>
    </w:p>
    <w:p>
      <w:pPr>
        <w:spacing w:before="120" w:after="120" w:line="240" w:lineRule="atLeast"/>
        <w:tabs>
          <w:tab w:val="left" w:pos="360"/>
        </w:tabs>
        <w:ind w:left="360" w:hanging="360"/>
      </w:pPr>
      <w:r>
        <w:rPr>
          <w:rFonts w:ascii="Calibri" w:hAnsi="Calibri"/>
          <w:sz w:val="22"/>
          <w:color w:val="1A1A1A"/>
        </w:rPr>
        <w:t xml:space="preserve">•</w:t>
        <w:tab/>
      </w:r>
      <w:r>
        <w:rPr>
          <w:b/>
          <w:rFonts w:ascii="Calibri" w:hAnsi="Calibri"/>
          <w:sz w:val="22"/>
          <w:color w:val="1A1A1A"/>
        </w:rPr>
        <w:t xml:space="preserve">Leadership:</w:t>
      </w:r>
      <w:r>
        <w:rPr>
          <w:rFonts w:ascii="Calibri" w:hAnsi="Calibri"/>
          <w:sz w:val="22"/>
          <w:color w:val="1A1A1A"/>
        </w:rPr>
        <w:t xml:space="preserve"> Technical Mentoring, Architecture Governance, Stakeholder Management, Risk Analysis, Agile Methodology</w:t>
      </w:r>
    </w:p>
    <w:p>
      <w:pPr>
        <w:spacing w:before="80" w:after="80" w:line="254" w:lineRule="auto"/>
        <w:pBdr>
          <w:bottom w:val="single" w:color="BFBFBF" w:sz="6" w:space="1"/>
        </w:pBdr>
      </w:pPr>
    </w:p>
    <w:p>
      <w:pPr>
        <w:spacing w:before="200" w:after="80" w:line="254" w:lineRule="auto"/>
        <w:pBdr>
          <w:bottom w:val="single" w:color="BFBFBF" w:sz="6" w:space="2"/>
        </w:pBdr>
      </w:pPr>
      <w:r>
        <w:rPr>
          <w:b/>
          <w:rFonts w:ascii="Calibri" w:hAnsi="Calibri"/>
          <w:sz w:val="24"/>
          <w:color w:val="1F4E79"/>
        </w:rPr>
        <w:t xml:space="preserve">PROFESSIONAL EXPERIENCE</w:t>
      </w:r>
    </w:p>
    <w:p>
      <w:pPr>
        <w:spacing w:before="120" w:after="20" w:line="254" w:lineRule="auto"/>
      </w:pPr>
      <w:r>
        <w:rPr>
          <w:b/>
          <w:rFonts w:ascii="Calibri" w:hAnsi="Calibri"/>
          <w:sz w:val="22"/>
          <w:color w:val="1A1A1A"/>
        </w:rPr>
        <w:t xml:space="preserve">Senior Software Architect — Large Federal Defense Contractor *(2020 – Present)*</w:t>
      </w:r>
    </w:p>
    <w:p>
      <w:pPr>
        <w:spacing w:before="120" w:after="120" w:line="240" w:lineRule="atLeast"/>
        <w:tabs>
          <w:tab w:val="left" w:pos="360"/>
        </w:tabs>
        <w:ind w:left="360" w:hanging="360"/>
      </w:pPr>
      <w:r>
        <w:rPr>
          <w:rFonts w:ascii="Calibri" w:hAnsi="Calibri"/>
          <w:sz w:val="22"/>
          <w:color w:val="1A1A1A"/>
        </w:rPr>
        <w:t xml:space="preserve">•</w:t>
        <w:tab/>
      </w:r>
      <w:r>
        <w:rPr>
          <w:rFonts w:ascii="Calibri" w:hAnsi="Calibri"/>
          <w:sz w:val="22"/>
          <w:color w:val="1A1A1A"/>
        </w:rPr>
        <w:t xml:space="preserve">Defined and governed cloud-native architecture strategy across a portfolio of 8 mission-critical microservices applications deployed on AWS GovCloud, reducing system downtime by 34% through improved observability and reliability engineering practices.</w:t>
      </w:r>
    </w:p>
    <w:p>
      <w:pPr>
        <w:spacing w:before="120" w:after="120" w:line="240" w:lineRule="atLeast"/>
        <w:tabs>
          <w:tab w:val="left" w:pos="360"/>
        </w:tabs>
        <w:ind w:left="360" w:hanging="360"/>
      </w:pPr>
      <w:r>
        <w:rPr>
          <w:rFonts w:ascii="Calibri" w:hAnsi="Calibri"/>
          <w:sz w:val="22"/>
          <w:color w:val="1A1A1A"/>
        </w:rPr>
        <w:t xml:space="preserve">•</w:t>
        <w:tab/>
      </w:r>
      <w:r>
        <w:rPr>
          <w:rFonts w:ascii="Calibri" w:hAnsi="Calibri"/>
          <w:sz w:val="22"/>
          <w:color w:val="1A1A1A"/>
        </w:rPr>
        <w:t xml:space="preserve">Established an API-first development framework adopted by 5 product teams, standardizing RESTful API design patterns and cutting integration defects by 28% within two release cycles.</w:t>
      </w:r>
    </w:p>
    <w:p>
      <w:pPr>
        <w:spacing w:before="120" w:after="120" w:line="240" w:lineRule="atLeast"/>
        <w:tabs>
          <w:tab w:val="left" w:pos="360"/>
        </w:tabs>
        <w:ind w:left="360" w:hanging="360"/>
      </w:pPr>
      <w:r>
        <w:rPr>
          <w:rFonts w:ascii="Calibri" w:hAnsi="Calibri"/>
          <w:sz w:val="22"/>
          <w:color w:val="1A1A1A"/>
        </w:rPr>
        <w:t xml:space="preserve">•</w:t>
        <w:tab/>
      </w:r>
      <w:r>
        <w:rPr>
          <w:rFonts w:ascii="Calibri" w:hAnsi="Calibri"/>
          <w:sz w:val="22"/>
          <w:color w:val="1A1A1A"/>
        </w:rPr>
        <w:t xml:space="preserve">Led architecture design reviews and security compliance assessments aligned to RMF and STIG requirements, achieving Authority to Operate (ATO) for 3 platforms on accelerated timelines.</w:t>
      </w:r>
    </w:p>
    <w:p>
      <w:pPr>
        <w:spacing w:before="120" w:after="120" w:line="240" w:lineRule="atLeast"/>
        <w:tabs>
          <w:tab w:val="left" w:pos="360"/>
        </w:tabs>
        <w:ind w:left="360" w:hanging="360"/>
      </w:pPr>
      <w:r>
        <w:rPr>
          <w:rFonts w:ascii="Calibri" w:hAnsi="Calibri"/>
          <w:sz w:val="22"/>
          <w:color w:val="1A1A1A"/>
        </w:rPr>
        <w:t xml:space="preserve">•</w:t>
        <w:tab/>
      </w:r>
      <w:r>
        <w:rPr>
          <w:rFonts w:ascii="Calibri" w:hAnsi="Calibri"/>
          <w:sz w:val="22"/>
          <w:color w:val="1A1A1A"/>
        </w:rPr>
        <w:t xml:space="preserve">Introduced LLM inference pipeline architecture for an internal intelligence-processing tool, integrating MLOps workflows that reduced model deployment lead time from 3 weeks to 4 days.</w:t>
      </w:r>
    </w:p>
    <w:p>
      <w:pPr>
        <w:spacing w:before="120" w:after="120" w:line="240" w:lineRule="atLeast"/>
        <w:tabs>
          <w:tab w:val="left" w:pos="360"/>
        </w:tabs>
        <w:ind w:left="360" w:hanging="360"/>
      </w:pPr>
      <w:r>
        <w:rPr>
          <w:rFonts w:ascii="Calibri" w:hAnsi="Calibri"/>
          <w:sz w:val="22"/>
          <w:color w:val="1A1A1A"/>
        </w:rPr>
        <w:t xml:space="preserve">•</w:t>
        <w:tab/>
      </w:r>
      <w:r>
        <w:rPr>
          <w:rFonts w:ascii="Calibri" w:hAnsi="Calibri"/>
          <w:sz w:val="22"/>
          <w:color w:val="1A1A1A"/>
        </w:rPr>
        <w:t xml:space="preserve">Championed DevSecOps adoption by embedding SonarQube static analysis and automated security gates into GitLab CI/CD pipelines, eliminating 90% of critical vulnerabilities prior to production deployment.</w:t>
      </w:r>
    </w:p>
    <w:p>
      <w:pPr>
        <w:spacing w:before="120" w:after="120" w:line="240" w:lineRule="atLeast"/>
        <w:tabs>
          <w:tab w:val="left" w:pos="360"/>
        </w:tabs>
        <w:ind w:left="360" w:hanging="360"/>
      </w:pPr>
      <w:r>
        <w:rPr>
          <w:rFonts w:ascii="Calibri" w:hAnsi="Calibri"/>
          <w:sz w:val="22"/>
          <w:color w:val="1A1A1A"/>
        </w:rPr>
        <w:t xml:space="preserve">•</w:t>
        <w:tab/>
      </w:r>
      <w:r>
        <w:rPr>
          <w:rFonts w:ascii="Calibri" w:hAnsi="Calibri"/>
          <w:sz w:val="22"/>
          <w:color w:val="1A1A1A"/>
        </w:rPr>
        <w:t xml:space="preserve">Mentored a team of 11 engineers across architecture, secure coding, and Kubernetes best practices, improving team velocity by 22% over two Agile program increments.</w:t>
      </w:r>
    </w:p>
    <w:p>
      <w:pPr>
        <w:spacing w:before="80" w:after="80" w:line="254" w:lineRule="auto"/>
        <w:pBdr>
          <w:bottom w:val="single" w:color="BFBFBF" w:sz="6" w:space="1"/>
        </w:pBdr>
      </w:pPr>
    </w:p>
    <w:p>
      <w:pPr>
        <w:spacing w:before="120" w:after="20" w:line="254" w:lineRule="auto"/>
      </w:pPr>
      <w:r>
        <w:rPr>
          <w:b/>
          <w:rFonts w:ascii="Calibri" w:hAnsi="Calibri"/>
          <w:sz w:val="22"/>
          <w:color w:val="1A1A1A"/>
        </w:rPr>
        <w:t xml:space="preserve">Software Architect — Regional Financial Services Technology Firm *(2016 – 2020)*</w:t>
      </w:r>
    </w:p>
    <w:p>
      <w:pPr>
        <w:spacing w:before="120" w:after="120" w:line="240" w:lineRule="atLeast"/>
        <w:tabs>
          <w:tab w:val="left" w:pos="360"/>
        </w:tabs>
        <w:ind w:left="360" w:hanging="360"/>
      </w:pPr>
      <w:r>
        <w:rPr>
          <w:rFonts w:ascii="Calibri" w:hAnsi="Calibri"/>
          <w:sz w:val="22"/>
          <w:color w:val="1A1A1A"/>
        </w:rPr>
        <w:t xml:space="preserve">•</w:t>
        <w:tab/>
      </w:r>
      <w:r>
        <w:rPr>
          <w:rFonts w:ascii="Calibri" w:hAnsi="Calibri"/>
          <w:sz w:val="22"/>
          <w:color w:val="1A1A1A"/>
        </w:rPr>
        <w:t xml:space="preserve">Architected a greenfield cloud-native platform on Azure using containerized Java Enterprise microservices orchestrated with Kubernetes, supporting 2.4 million active users with 99.95% uptime SLA.</w:t>
      </w:r>
    </w:p>
    <w:p>
      <w:pPr>
        <w:spacing w:before="120" w:after="120" w:line="240" w:lineRule="atLeast"/>
        <w:tabs>
          <w:tab w:val="left" w:pos="360"/>
        </w:tabs>
        <w:ind w:left="360" w:hanging="360"/>
      </w:pPr>
      <w:r>
        <w:rPr>
          <w:rFonts w:ascii="Calibri" w:hAnsi="Calibri"/>
          <w:sz w:val="22"/>
          <w:color w:val="1A1A1A"/>
        </w:rPr>
        <w:t xml:space="preserve">•</w:t>
        <w:tab/>
      </w:r>
      <w:r>
        <w:rPr>
          <w:rFonts w:ascii="Calibri" w:hAnsi="Calibri"/>
          <w:sz w:val="22"/>
          <w:color w:val="1A1A1A"/>
        </w:rPr>
        <w:t xml:space="preserve">Designed and implemented a PostgreSQL-backed relational data layer with optimized query patterns, reducing average API response latency by 41% for high-throughput transaction workflows.</w:t>
      </w:r>
    </w:p>
    <w:p>
      <w:pPr>
        <w:spacing w:before="120" w:after="120" w:line="240" w:lineRule="atLeast"/>
        <w:tabs>
          <w:tab w:val="left" w:pos="360"/>
        </w:tabs>
        <w:ind w:left="360" w:hanging="360"/>
      </w:pPr>
      <w:r>
        <w:rPr>
          <w:rFonts w:ascii="Calibri" w:hAnsi="Calibri"/>
          <w:sz w:val="22"/>
          <w:color w:val="1A1A1A"/>
        </w:rPr>
        <w:t xml:space="preserve">•</w:t>
        <w:tab/>
      </w:r>
      <w:r>
        <w:rPr>
          <w:rFonts w:ascii="Calibri" w:hAnsi="Calibri"/>
          <w:sz w:val="22"/>
          <w:color w:val="1A1A1A"/>
        </w:rPr>
        <w:t xml:space="preserve">Collaborated with product management and executive stakeholders to translate business requirements into phased architecture roadmaps, delivering 4 major platform releases on schedule and under budget.</w:t>
      </w:r>
    </w:p>
    <w:p>
      <w:pPr>
        <w:spacing w:before="120" w:after="120" w:line="240" w:lineRule="atLeast"/>
        <w:tabs>
          <w:tab w:val="left" w:pos="360"/>
        </w:tabs>
        <w:ind w:left="360" w:hanging="360"/>
      </w:pPr>
      <w:r>
        <w:rPr>
          <w:rFonts w:ascii="Calibri" w:hAnsi="Calibri"/>
          <w:sz w:val="22"/>
          <w:color w:val="1A1A1A"/>
        </w:rPr>
        <w:t xml:space="preserve">•</w:t>
        <w:tab/>
      </w:r>
      <w:r>
        <w:rPr>
          <w:rFonts w:ascii="Calibri" w:hAnsi="Calibri"/>
          <w:sz w:val="22"/>
          <w:color w:val="1A1A1A"/>
        </w:rPr>
        <w:t xml:space="preserve">Conducted quarterly architecture governance reviews and risk analysis sessions, identifying and mitigating 15+ design-level risks before they reached production.</w:t>
      </w:r>
    </w:p>
    <w:p>
      <w:pPr>
        <w:spacing w:before="120" w:after="120" w:line="240" w:lineRule="atLeast"/>
        <w:tabs>
          <w:tab w:val="left" w:pos="360"/>
        </w:tabs>
        <w:ind w:left="360" w:hanging="360"/>
      </w:pPr>
      <w:r>
        <w:rPr>
          <w:rFonts w:ascii="Calibri" w:hAnsi="Calibri"/>
          <w:sz w:val="22"/>
          <w:color w:val="1A1A1A"/>
        </w:rPr>
        <w:t xml:space="preserve">•</w:t>
        <w:tab/>
      </w:r>
      <w:r>
        <w:rPr>
          <w:rFonts w:ascii="Calibri" w:hAnsi="Calibri"/>
          <w:sz w:val="22"/>
          <w:color w:val="1A1A1A"/>
        </w:rPr>
        <w:t xml:space="preserve">Drove cross-functional collaboration between security, QA, and DevOps teams to implement end-to-end DevSecOps pipelines, reducing mean time to remediate vulnerabilities by 50%.</w:t>
      </w:r>
    </w:p>
    <w:p>
      <w:pPr>
        <w:spacing w:before="80" w:after="80" w:line="254" w:lineRule="auto"/>
        <w:pBdr>
          <w:bottom w:val="single" w:color="BFBFBF" w:sz="6" w:space="1"/>
        </w:pBdr>
      </w:pPr>
    </w:p>
    <w:p>
      <w:pPr>
        <w:spacing w:before="120" w:after="20" w:line="254" w:lineRule="auto"/>
      </w:pPr>
      <w:r>
        <w:rPr>
          <w:b/>
          <w:rFonts w:ascii="Calibri" w:hAnsi="Calibri"/>
          <w:sz w:val="22"/>
          <w:color w:val="1A1A1A"/>
        </w:rPr>
        <w:t xml:space="preserve">Senior Software Engineer — Mid-Size E-Commerce Platform Company *(2012 – 2016)*</w:t>
      </w:r>
    </w:p>
    <w:p>
      <w:pPr>
        <w:spacing w:before="120" w:after="120" w:line="240" w:lineRule="atLeast"/>
        <w:tabs>
          <w:tab w:val="left" w:pos="360"/>
        </w:tabs>
        <w:ind w:left="360" w:hanging="360"/>
      </w:pPr>
      <w:r>
        <w:rPr>
          <w:rFonts w:ascii="Calibri" w:hAnsi="Calibri"/>
          <w:sz w:val="22"/>
          <w:color w:val="1A1A1A"/>
        </w:rPr>
        <w:t xml:space="preserve">•</w:t>
        <w:tab/>
      </w:r>
      <w:r>
        <w:rPr>
          <w:rFonts w:ascii="Calibri" w:hAnsi="Calibri"/>
          <w:sz w:val="22"/>
          <w:color w:val="1A1A1A"/>
        </w:rPr>
        <w:t xml:space="preserve">Developed and maintained Java-based RESTful APIs serving 500K+ daily requests, contributing to a service-oriented architecture migration that improved deployment frequency by 3×.</w:t>
      </w:r>
    </w:p>
    <w:p>
      <w:pPr>
        <w:spacing w:before="120" w:after="120" w:line="240" w:lineRule="atLeast"/>
        <w:tabs>
          <w:tab w:val="left" w:pos="360"/>
        </w:tabs>
        <w:ind w:left="360" w:hanging="360"/>
      </w:pPr>
      <w:r>
        <w:rPr>
          <w:rFonts w:ascii="Calibri" w:hAnsi="Calibri"/>
          <w:sz w:val="22"/>
          <w:color w:val="1A1A1A"/>
        </w:rPr>
        <w:t xml:space="preserve">•</w:t>
        <w:tab/>
      </w:r>
      <w:r>
        <w:rPr>
          <w:rFonts w:ascii="Calibri" w:hAnsi="Calibri"/>
          <w:sz w:val="22"/>
          <w:color w:val="1A1A1A"/>
        </w:rPr>
        <w:t xml:space="preserve">Supported early containerization efforts using Docker and Kubernetes, enabling consistent multi-environment deployments across GCP infrastructure.</w:t>
      </w:r>
    </w:p>
    <w:p>
      <w:pPr>
        <w:spacing w:before="120" w:after="120" w:line="240" w:lineRule="atLeast"/>
        <w:tabs>
          <w:tab w:val="left" w:pos="360"/>
        </w:tabs>
        <w:ind w:left="360" w:hanging="360"/>
      </w:pPr>
      <w:r>
        <w:rPr>
          <w:rFonts w:ascii="Calibri" w:hAnsi="Calibri"/>
          <w:sz w:val="22"/>
          <w:color w:val="1A1A1A"/>
        </w:rPr>
        <w:t xml:space="preserve">•</w:t>
        <w:tab/>
      </w:r>
      <w:r>
        <w:rPr>
          <w:rFonts w:ascii="Calibri" w:hAnsi="Calibri"/>
          <w:sz w:val="22"/>
          <w:color w:val="1A1A1A"/>
        </w:rPr>
        <w:t xml:space="preserve">Participated in Agile sprint ceremonies and contributed to technical documentation and internal knowledge-sharing sessions for a 20-person engineering organization.</w:t>
      </w:r>
    </w:p>
    <w:p>
      <w:pPr>
        <w:spacing w:before="80" w:after="80" w:line="254" w:lineRule="auto"/>
        <w:pBdr>
          <w:bottom w:val="single" w:color="BFBFBF" w:sz="6" w:space="1"/>
        </w:pBdr>
      </w:pPr>
    </w:p>
    <w:p>
      <w:pPr>
        <w:spacing w:before="200" w:after="80" w:line="254" w:lineRule="auto"/>
        <w:pBdr>
          <w:bottom w:val="single" w:color="BFBFBF" w:sz="6" w:space="2"/>
        </w:pBdr>
      </w:pPr>
      <w:r>
        <w:rPr>
          <w:b/>
          <w:rFonts w:ascii="Calibri" w:hAnsi="Calibri"/>
          <w:sz w:val="24"/>
          <w:color w:val="1F4E79"/>
        </w:rPr>
        <w:t xml:space="preserve">EDUCATION</w:t>
      </w:r>
    </w:p>
    <w:p>
      <w:pPr>
        <w:spacing w:before="0" w:after="60" w:line="254" w:lineRule="auto"/>
      </w:pPr>
      <w:r>
        <w:rPr>
          <w:b/>
          <w:rFonts w:ascii="Calibri" w:hAnsi="Calibri"/>
          <w:sz w:val="22"/>
          <w:color w:val="1A1A1A"/>
        </w:rPr>
        <w:t xml:space="preserve">Bachelor of Science, Computer Science</w:t>
      </w:r>
    </w:p>
    <w:p>
      <w:pPr>
        <w:spacing w:before="0" w:after="60" w:line="254" w:lineRule="auto"/>
      </w:pPr>
      <w:r>
        <w:rPr>
          <w:rFonts w:ascii="Calibri" w:hAnsi="Calibri"/>
          <w:sz w:val="22"/>
          <w:color w:val="1A1A1A"/>
        </w:rPr>
        <w:t xml:space="preserve">State Research University</w:t>
      </w:r>
    </w:p>
    <w:sectPr>
      <w:pgSz w:w="12240" w:h="15840"/>
      <w:pgMar w:top="720" w:right="720" w:bottom="720" w:left="720" w:header="720" w:footer="720" w:gutter="0"/>
    </w:sectPr>
  </w:body>
</w:document>
</file>