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06846736cbe4059"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Senior Staff Accountant with 7+ years of progressive general ledger accounting experience across manufacturing, professional services, and technology environments. Proven track record of owning end-to-end month-end close cycles, delivering accurate financial statements under tight deadlines, and strengthening internal controls to support external audit readiness. Skilled at performing complex account reconciliations, variance analysis, and revenue recognition while partnering cross-functionally with operations, FP&amp;A, and leadership teams. Experienced mentor who has guided junior accountants through process improvements that reduce close timelines and improve data integrity. Proficient in Excel, Workday, FloQast, and Microsoft Dynamics ERP.</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Month-End &amp; Year-End Close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General Ledger Accounting &amp; Journal Entries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Account Reconciliations &amp; Bank Reconciliations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Financial Statements &amp; Management Reporting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US GAAP Compliance &amp; Revenue Recognition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Budgeting, Forecasting &amp; Variance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Audit Support &amp; Internal Controls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Tax Filings &amp; Regulatory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Inventory &amp; Cost Accounting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Cash Flow Analysis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Process Improvement &amp; Workflow Optimization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Staff Mentoring &amp; Cross-Functional Collaboration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Excel (advanced), Workday, FloQast, Microsoft Dynamics AX, Unanet</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Staff Accountant — Mid-Market Manufacturing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Owned full-cycle month-end close for five legal entities, consistently delivering consolidated financial statements within four business days — a two-day improvement over the prior close timeline achieved through FloQast workflow automation.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Prepared and posted 80–100 journal entries per close cycle, including accruals, prepaid amortization, intercompany eliminations, and inventory cost adjustments in Microsoft Dynamics AX.</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Performed monthly inventory accounting and cost accounting reconciliations, identifying a $215K valuation discrepancy that was corrected prior to year-end audit, preventing a material misstatement.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annual external audit support, coordinating PBC schedules and responding to auditor inquiries across GL, fixed assets, and revenue recognition workstreams; contributed to a clean audit opinion for three consecutive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monthly variance analysis against budget and forecast, presenting findings to the Controller and CFO and flagging a $400K unfavorable overhead variance that prompted a corrective operational review.</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Mentored two staff accountants, conducting weekly one-on-ones and reviewing reconciliations, which reduced review-cycle rework by approximately 30%.</w:t>
      </w:r>
    </w:p>
    <w:p>
      <w:pPr>
        <w:spacing w:before="80" w:after="80" w:line="254" w:lineRule="auto"/>
        <w:pBdr>
          <w:bottom w:val="single" w:color="BFBFBF" w:sz="6" w:space="1"/>
        </w:pBdr>
      </w:pPr>
    </w:p>
    <w:p>
      <w:pPr>
        <w:spacing w:before="120" w:after="20" w:line="254" w:lineRule="auto"/>
      </w:pPr>
      <w:r>
        <w:rPr>
          <w:b/>
          <w:rFonts w:ascii="Calibri" w:hAnsi="Calibri"/>
          <w:sz w:val="22"/>
          <w:color w:val="1A1A1A"/>
        </w:rPr>
        <w:t xml:space="preserve">Staff Accountant — Regional Professional Services Firm (2.5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general ledger accounting for a $60M revenue portfolio, maintaining compliance with US GAAP and supporting quarterly tax filings and sales-and-use tax compliance across multiple jurisdictions.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Reconciled 40+ balance sheet accounts monthly, resolving aged items and reducing unreconciled balances by 45% within the first year through a systematic cleanup initiative.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the preparation of annual budgets and rolling forecasts, building Excel-based models that improved departmental cost tracking accuracy and reduced budget-to-actual variances by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implementation of Workday Financials, documenting chart-of-accounts mapping and testing journal entry workflows, which shortened the post-go-live stabilization period by three weeks.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project managers and operations teams to ensure proper revenue recognition on time-and-materials and fixed-fee engagements in accordance with ASC 606.</w:t>
      </w:r>
    </w:p>
    <w:p>
      <w:pPr>
        <w:spacing w:before="80" w:after="80" w:line="254" w:lineRule="auto"/>
        <w:pBdr>
          <w:bottom w:val="single" w:color="BFBFBF" w:sz="6" w:space="1"/>
        </w:pBdr>
      </w:pPr>
    </w:p>
    <w:p>
      <w:pPr>
        <w:spacing w:before="120" w:after="20" w:line="254" w:lineRule="auto"/>
      </w:pPr>
      <w:r>
        <w:rPr>
          <w:b/>
          <w:rFonts w:ascii="Calibri" w:hAnsi="Calibri"/>
          <w:sz w:val="22"/>
          <w:color w:val="1A1A1A"/>
        </w:rPr>
        <w:t xml:space="preserve">Junior Accountant — Regional Nonprofit Organization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Processed month-end journal entries, bank reconciliations, and cash flow reporting for an organization with $12M in annual operating expenses.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with grant compliance reporting and internal audit preparation, maintaining documentation that supported zero findings across two consecutive internal control reviews.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Transitioned accounts payable and expense reporting processes to a cloud-based platform, reducing manual data entry by approximately 25%.</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in Accounting</w:t>
      </w:r>
    </w:p>
    <w:p>
      <w:pPr>
        <w:spacing w:before="0" w:after="60" w:line="254" w:lineRule="auto"/>
      </w:pPr>
      <w:r>
        <w:rPr>
          <w:rFonts w:ascii="Calibri" w:hAnsi="Calibri"/>
          <w:sz w:val="22"/>
          <w:color w:val="1A1A1A"/>
        </w:rPr>
        <w:t xml:space="preserve">State University — College of Business</w:t>
      </w:r>
    </w:p>
    <w:p>
      <w:pPr>
        <w:spacing w:before="80" w:after="80" w:line="254" w:lineRule="auto"/>
        <w:pBdr>
          <w:bottom w:val="single" w:color="BFBFBF" w:sz="6" w:space="1"/>
        </w:pBdr>
      </w:pPr>
    </w:p>
    <w:p>
      <w:pPr>
        <w:spacing w:before="0" w:after="60" w:line="254" w:lineRule="auto"/>
      </w:pPr>
      <w:r>
        <w:rPr>
          <w:b/>
          <w:rFonts w:ascii="Calibri" w:hAnsi="Calibri"/>
          <w:sz w:val="22"/>
          <w:color w:val="1A1A1A"/>
        </w:rPr>
        <w:t xml:space="preserve">Certifications</w:t>
      </w:r>
    </w:p>
    <w:p>
      <w:pPr>
        <w:spacing w:before="0" w:after="60" w:line="254" w:lineRule="auto"/>
      </w:pPr>
      <w:r>
        <w:rPr>
          <w:rFonts w:ascii="Calibri" w:hAnsi="Calibri"/>
          <w:sz w:val="22"/>
          <w:color w:val="1A1A1A"/>
        </w:rPr>
        <w:t xml:space="preserve">Certified Public Accountant (CPA) — Active License</w:t>
      </w:r>
    </w:p>
    <w:sectPr>
      <w:pgSz w:w="12240" w:h="15840"/>
      <w:pgMar w:top="720" w:right="720" w:bottom="720" w:left="720" w:header="720" w:footer="720" w:gutter="0"/>
    </w:sectPr>
  </w:body>
</w:document>
</file>