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2aefcc5d155c442e" /></Relationships>
</file>

<file path=word/document.xml><?xml version="1.0" encoding="utf-8"?>
<w:document xmlns:w="http://schemas.openxmlformats.org/wordprocessingml/2006/main">
  <w:body>
    <w:p>
      <w:pPr>
        <w:spacing w:before="0" w:after="40" w:line="254" w:lineRule="auto"/>
        <w:jc w:val="center"/>
      </w:pPr>
      <w:r>
        <w:rPr>
          <w:b/>
          <w:rFonts w:ascii="Calibri" w:hAnsi="Calibri"/>
          <w:sz w:val="44"/>
          <w:color w:val="1F4E79"/>
          <w:spacing w:val="30"/>
        </w:rPr>
        <w:t xml:space="preserve">[YOUR NAME]</w:t>
      </w:r>
    </w:p>
    <w:p>
      <w:pPr>
        <w:spacing w:before="0" w:after="60" w:line="254" w:lineRule="auto"/>
      </w:pPr>
      <w:r>
        <w:rPr>
          <w:rFonts w:ascii="Calibri" w:hAnsi="Calibri"/>
          <w:sz w:val="22"/>
          <w:color w:val="1A1A1A"/>
        </w:rPr>
        <w:t xml:space="preserve">[City, State] · [email@example.com] · [phone] · [linkedin.com/in/you]</w:t>
      </w:r>
    </w:p>
    <w:p>
      <w:pPr>
        <w:spacing w:before="200" w:after="80" w:line="254" w:lineRule="auto"/>
        <w:pBdr>
          <w:bottom w:val="single" w:color="BFBFBF" w:sz="6" w:space="2"/>
        </w:pBdr>
      </w:pPr>
      <w:r>
        <w:rPr>
          <w:b/>
          <w:rFonts w:ascii="Calibri" w:hAnsi="Calibri"/>
          <w:sz w:val="24"/>
          <w:color w:val="1F4E79"/>
        </w:rPr>
        <w:t xml:space="preserve">PROFESSIONAL SUMMARY</w:t>
      </w:r>
    </w:p>
    <w:p>
      <w:pPr>
        <w:spacing w:before="0" w:after="60" w:line="254" w:lineRule="auto"/>
      </w:pPr>
      <w:r>
        <w:rPr>
          <w:rFonts w:ascii="Calibri" w:hAnsi="Calibri"/>
          <w:sz w:val="22"/>
          <w:color w:val="1A1A1A"/>
        </w:rPr>
        <w:t xml:space="preserve">Detail-oriented Senior Tax Accountant with 7+ years of progressive experience in tax accounting, compliance, and planning across both public accounting and corporate environments. Proven track record managing complex indirect tax and income tax obligations for multinational organizations, preparing monthly income tax provisions, and delivering audit-ready workpapers under tight deadlines. Skilled at translating technical tax analyses into clear guidance for cross-functional stakeholders, with a collaborative approach that drives process improvements and reduces compliance risk.</w:t>
      </w:r>
    </w:p>
    <w:p>
      <w:pPr>
        <w:spacing w:before="200" w:after="80" w:line="254" w:lineRule="auto"/>
        <w:pBdr>
          <w:bottom w:val="single" w:color="BFBFBF" w:sz="6" w:space="2"/>
        </w:pBdr>
      </w:pPr>
      <w:r>
        <w:rPr>
          <w:b/>
          <w:rFonts w:ascii="Calibri" w:hAnsi="Calibri"/>
          <w:sz w:val="24"/>
          <w:color w:val="1F4E79"/>
        </w:rPr>
        <w:t xml:space="preserve">KEY SKILLS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Sales and Use Tax Compliance</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Indirect Tax Management</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Income Tax &amp; Tax Provision Preparation</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Monthly Income Tax Provision (ASC 740)</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Tax Accounting &amp; Journal Entries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Balance Sheet Reconciliations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Tax Planning &amp; Strategy</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Tax Research &amp; Analysis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Audit Readiness &amp; Defense Support</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Multinational Tax Experience</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Stakeholder Management &amp; Communication</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Public Accounting Methodology</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Time Management &amp; Prioritization</w:t>
      </w:r>
    </w:p>
    <w:p>
      <w:pPr>
        <w:spacing w:before="200" w:after="80" w:line="254" w:lineRule="auto"/>
        <w:pBdr>
          <w:bottom w:val="single" w:color="BFBFBF" w:sz="6" w:space="2"/>
        </w:pBdr>
      </w:pPr>
      <w:r>
        <w:rPr>
          <w:b/>
          <w:rFonts w:ascii="Calibri" w:hAnsi="Calibri"/>
          <w:sz w:val="24"/>
          <w:color w:val="1F4E79"/>
        </w:rPr>
        <w:t xml:space="preserve">PROFESSIONAL EXPERIENCE</w:t>
      </w:r>
    </w:p>
    <w:p>
      <w:pPr>
        <w:spacing w:before="120" w:after="20" w:line="254" w:lineRule="auto"/>
      </w:pPr>
      <w:r>
        <w:rPr>
          <w:b/>
          <w:rFonts w:ascii="Calibri" w:hAnsi="Calibri"/>
          <w:sz w:val="22"/>
          <w:color w:val="1A1A1A"/>
        </w:rPr>
        <w:t xml:space="preserve">Senior Tax Accountant — Multinational Manufacturing Corporation (3 years)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Managed end-to-end sales and use tax compliance across 28 states, reducing assessment exposure by approximately $340,000 through proactive nexus reviews and exemption certificate remediation.</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Prepared monthly income tax provision under ASC 740 for consolidated entities operating in 9 countries, ensuring accurate current and deferred tax positions and supporting quarterly SEC reporting timelines.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Maintained and reviewed tax accounting journal entries and monthly balance sheet reconciliations for all indirect tax accounts, achieving a zero-material-error record across four consecutive audit cycles.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Conducted in-depth tax research on evolving indirect tax legislation, delivering concise technical memos that enabled business units to adapt pricing and procurement strategies within 30 days of regulatory changes.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Collaborated with finance, legal, and treasury teams across North America and Europe to support transfer pricing documentation and cross-border tax planning initiatives.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Served as primary point of contact for external auditors during year-end income tax provision reviews, maintaining audit-ready workpapers that reduced auditor inquiry time by roughly 25%.</w:t>
      </w:r>
    </w:p>
    <w:p>
      <w:pPr>
        <w:spacing w:before="120" w:after="20" w:line="254" w:lineRule="auto"/>
      </w:pPr>
      <w:r>
        <w:rPr>
          <w:b/>
          <w:rFonts w:ascii="Calibri" w:hAnsi="Calibri"/>
          <w:sz w:val="22"/>
          <w:color w:val="1A1A1A"/>
        </w:rPr>
        <w:t xml:space="preserve">Tax Accountant — Regional Public Accounting Firm (3 years)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Prepared federal and multi-state income tax returns and tax provisions for a portfolio of 40+ corporate clients ranging from mid-market manufacturers to early-stage technology companies.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Performed detailed tax analyses to identify planning opportunities, generating an average of $180,000 in annual tax savings per engagement through credits, elections, and method changes.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Supported indirect tax engagements including sales and use tax nexus studies, voluntary disclosure agreements, and audit defense, resulting in penalty abatements totaling over $500,000 across client base.</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Developed and maintained reconciliation templates and standardized workpaper packages that improved team efficiency by approximately 20% during peak filing season.</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Communicated complex tax findings to client CFOs and controllers through written reports and presentations, strengthening long-term client relationships and contributing to a 90% client retention rate.</w:t>
      </w:r>
    </w:p>
    <w:p>
      <w:pPr>
        <w:spacing w:before="120" w:after="20" w:line="254" w:lineRule="auto"/>
      </w:pPr>
      <w:r>
        <w:rPr>
          <w:b/>
          <w:rFonts w:ascii="Calibri" w:hAnsi="Calibri"/>
          <w:sz w:val="22"/>
          <w:color w:val="1A1A1A"/>
        </w:rPr>
        <w:t xml:space="preserve">Staff Tax Accountant — Diversified Financial Services Company (1 year)</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Assisted in preparation of quarterly and annual income tax provisions, including deferred tax asset and liability schedules, under supervision of senior tax leadership.</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Processed and reconciled sales and use tax filings across multiple jurisdictions, ensuring timely and accurate submissions with no late-filing penalties during tenure.</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Supported tax planning projects by gathering data, preparing preliminary tax analyses, and organizing documentation for internal review and audit readiness purposes.</w:t>
      </w:r>
    </w:p>
    <w:p>
      <w:pPr>
        <w:spacing w:before="200" w:after="80" w:line="254" w:lineRule="auto"/>
        <w:pBdr>
          <w:bottom w:val="single" w:color="BFBFBF" w:sz="6" w:space="2"/>
        </w:pBdr>
      </w:pPr>
      <w:r>
        <w:rPr>
          <w:b/>
          <w:rFonts w:ascii="Calibri" w:hAnsi="Calibri"/>
          <w:sz w:val="24"/>
          <w:color w:val="1F4E79"/>
        </w:rPr>
        <w:t xml:space="preserve">EDUCATION</w:t>
      </w:r>
    </w:p>
    <w:p>
      <w:pPr>
        <w:spacing w:before="0" w:after="60" w:line="254" w:lineRule="auto"/>
      </w:pPr>
      <w:r>
        <w:rPr>
          <w:b/>
          <w:rFonts w:ascii="Calibri" w:hAnsi="Calibri"/>
          <w:sz w:val="22"/>
          <w:color w:val="1A1A1A"/>
        </w:rPr>
        <w:t xml:space="preserve">Bachelor of Science in Accounting</w:t>
      </w:r>
    </w:p>
    <w:p>
      <w:pPr>
        <w:spacing w:before="0" w:after="60" w:line="254" w:lineRule="auto"/>
      </w:pPr>
      <w:r>
        <w:rPr>
          <w:rFonts w:ascii="Calibri" w:hAnsi="Calibri"/>
          <w:sz w:val="22"/>
          <w:color w:val="1A1A1A"/>
        </w:rPr>
        <w:t xml:space="preserve">State University — College of Business</w:t>
      </w:r>
    </w:p>
    <w:p>
      <w:pPr>
        <w:spacing w:before="200" w:after="80" w:line="254" w:lineRule="auto"/>
        <w:pBdr>
          <w:bottom w:val="single" w:color="BFBFBF" w:sz="6" w:space="2"/>
        </w:pBdr>
      </w:pPr>
      <w:r>
        <w:rPr>
          <w:b/>
          <w:rFonts w:ascii="Calibri" w:hAnsi="Calibri"/>
          <w:sz w:val="24"/>
          <w:color w:val="1F4E79"/>
        </w:rPr>
        <w:t xml:space="preserve">CERTIFICATIONS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Certified Public Accountant (CPA)</w:t>
      </w:r>
    </w:p>
    <w:sectPr>
      <w:pgSz w:w="12240" w:h="15840"/>
      <w:pgMar w:top="720" w:right="720" w:bottom="720" w:left="720" w:header="720" w:footer="720" w:gutter="0"/>
    </w:sectPr>
  </w:body>
</w:document>
</file>