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d2768297a443e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Results-driven Software Architect with 10+ years of progressive experience designing and delivering scalable, cloud-native architectures across enterprise and product environments. Proven track record of translating complex business requirements into robust architectural designs, leading cross-functional engineering teams, and driving technical excellence from concept through deployment. Deep expertise in AWS, RESTful APIs, GraphQL, and Kubernetes, with a strong commitment to mentoring engineers and communicating architectural decisions clearly to both technical and non-technical stakeholders.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Cloud &amp; Infrastructure:</w:t>
      </w:r>
      <w:r>
        <w:rPr>
          <w:rFonts w:ascii="Calibri" w:hAnsi="Calibri"/>
          <w:sz w:val="22"/>
          <w:color w:val="1A1A1A"/>
        </w:rPr>
        <w:t xml:space="preserve"> AWS (EC2, Lambda, ECS, S3, RDS), Azure DevOps, Kubernetes, cloud-native architectures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API &amp; Integration:</w:t>
      </w:r>
      <w:r>
        <w:rPr>
          <w:rFonts w:ascii="Calibri" w:hAnsi="Calibri"/>
          <w:sz w:val="22"/>
          <w:color w:val="1A1A1A"/>
        </w:rPr>
        <w:t xml:space="preserve"> RESTful APIs, GraphQL, API integrations, microservices design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Frontend Ecosystem:</w:t>
      </w:r>
      <w:r>
        <w:rPr>
          <w:rFonts w:ascii="Calibri" w:hAnsi="Calibri"/>
          <w:sz w:val="22"/>
          <w:color w:val="1A1A1A"/>
        </w:rPr>
        <w:t xml:space="preserve"> React, Redux, Material UI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Architectural Practice:</w:t>
      </w:r>
      <w:r>
        <w:rPr>
          <w:rFonts w:ascii="Calibri" w:hAnsi="Calibri"/>
          <w:sz w:val="22"/>
          <w:color w:val="1A1A1A"/>
        </w:rPr>
        <w:t xml:space="preserve"> Architectural design patterns, domain-driven design, event-driven architecture, system scalability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Content &amp; Document Management:</w:t>
      </w:r>
      <w:r>
        <w:rPr>
          <w:rFonts w:ascii="Calibri" w:hAnsi="Calibri"/>
          <w:sz w:val="22"/>
          <w:color w:val="1A1A1A"/>
        </w:rPr>
        <w:t xml:space="preserve"> OpenText Captiva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Collaboration &amp; Tooling:</w:t>
      </w:r>
      <w:r>
        <w:rPr>
          <w:rFonts w:ascii="Calibri" w:hAnsi="Calibri"/>
          <w:sz w:val="22"/>
          <w:color w:val="1A1A1A"/>
        </w:rPr>
        <w:t xml:space="preserve"> Jira, Confluence, Bitbucket, Git workflows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Leadership:</w:t>
      </w:r>
      <w:r>
        <w:rPr>
          <w:rFonts w:ascii="Calibri" w:hAnsi="Calibri"/>
          <w:sz w:val="22"/>
          <w:color w:val="1A1A1A"/>
        </w:rPr>
        <w:t xml:space="preserve"> Mentoring engineers, stakeholder management, cross-functional collaboration, technical roadmap ownership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Software Architect — Enterprise Financial Services Firm (5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Led end-to-end architectural design of a cloud-native microservices platform on AWS, reducing infrastructure costs by 28% and improving system availability to 99.97% across 12 production services.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Defined and enforced API standards for RESTful APIs and GraphQL endpoints consumed by 6 internal product teams, cutting integration defects by 35% over two release cycles.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Orchestrated migration of 40+ containerized workloads to Kubernetes, decreasing average deployment time from 45 minutes to under 8 minutes and enabling zero-downtime rollouts.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Partnered with product owners, engineering managers, and C-suite stakeholders to align technical roadmaps with business objectives, presenting architectural proposals in quarterly steering committee reviews.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Mentored a team of 9 mid-level and senior engineers through structured design reviews, pair architecture sessions, and documented decision records in Confluence, contributing to two internal promotions within 18 months.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Established Azure DevOps CI/CD pipelines and Bitbucket branching strategies that reduced release cycle duration by 40%.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Senior Software Engineer — Mid-Size Insurtech Company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Designed and implemented API integrations connecting a core policy management system with third-party data providers, processing over 2 million transactions monthly with less than 0.1% error rate.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Built React and Redux front-end architecture with Material UI component library, standardizing UI patterns across 4 product squads and reducing onboarding time for new engineers by approximately 30%.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cross-functionally with data engineering, DevOps, and QA teams to deliver a customer-facing self-service portal on schedule, serving 85,000 active users within six months of launch.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Introduced OpenText Captiva for automated document ingestion workflows, reducing manual document processing effort by roughly 50% across the operations team.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Tracked project milestones and sprint velocity in Jira, maintaining consistent delivery predictability at 88% sprint completion rate over 10 consecutive quarters.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Software Engineer — Regional Healthcare Technology Provider (2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Contributed to architectural design of a HIPAA-compliant patient data platform hosted on AWS, supporting integrations with 14 external EHR systems via RESTful APIs.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GraphQL schemas and resolvers that consolidated data from disparate backend services, reducing average client query response time by 42%.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Participated in cross-functional collaboration with clinical informatics, compliance, and product teams to ensure architectural decisions met regulatory and performance requirements.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Computer Science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State Research University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CERTIFICATIONS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AWS Certified Solutions Architect – Professional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Certified Kubernetes Administrator (CKA)</w:t>
      </w:r>
    </w:p>
    <w:sectPr>
      <w:pgSz w:w="12240" w:h="15840"/>
      <w:pgMar w:top="720" w:right="720" w:bottom="720" w:left="720" w:header="720" w:footer="720" w:gutter="0"/>
    </w:sectPr>
  </w:body>
</w:document>
</file>