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080eab0fb22441bd"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Results-driven Solution Engineer with 6+ years of experience in pre-sales and solution engineering, partnering with enterprise sales teams to accelerate pipeline and close complex deals. Proven track record of delivering compelling product demonstrations, designing scalable solution architectures, and responding to RFIs/RFPs for Fortune 500 and mid-market accounts. Adept at translating intricate technical concepts into clear business value for executive audiences, with deep expertise in cloud-native architectures, ERP integrations, and AI-enabled solutions. Known for a consultative, customer-focused approach that builds lasting relationships and drives measurable revenue outcomes.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Pre-Sales &amp; Solution Engineering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Product Demonstrations &amp; Proof-of-Concept Development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Solution Architecture &amp; Architecture Design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ERP / Enterprise System Integration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AI/ML &amp; AI-Enabled Solution Design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APIs, Microservices &amp; Cloud-Native Architectures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Cloud Platforms: AWS, Azure, Google Cloud</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Snowflake Data Platform</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RFI / RFP Response &amp; Proposal Development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Requirements Gathering &amp; Discovery Workshops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Data Governance &amp; Security Compliance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Executive-Level Communication &amp; Presentation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Cross-Functional Collaboration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Relationship Building with Customers &amp; Partners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Senior Solution Engineer — Enterprise SaaS Company (4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Served as primary technical resource for a 12-person enterprise sales team, supporting an average of $18M in annual pipeline across North American accounts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Designed and delivered tailored product demonstrations and proof-of-concept environments for prospects in manufacturing, financial services, and healthcare verticals, contributing to a 34% improvement in demo-to-opportunity conversion rate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Led discovery workshops and requirements gathering sessions with C-suite and technical stakeholders, translating business needs into scalable cloud-native solution architectures on AWS and Azure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Architected ERP integration solutions connecting client systems to the platform via REST APIs and microservices, reducing average implementation timelines by 20%</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Authored and coordinated responses to 40+ RFIs and RFPs annually, achieving a 62% win rate on competitive bids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with product and engineering teams to surface customer feedback, influencing three major feature releases tied to AI/ML capabilities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Snowflake-based data environments for demo instances, ensuring data governance and security compliance standards were met across all prospect-facing assets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Traveled up to 40% of the time for on-site executive briefings, workshops, and industry conferences</w:t>
      </w:r>
    </w:p>
    <w:p>
      <w:pPr>
        <w:spacing w:before="120" w:after="20" w:line="254" w:lineRule="auto"/>
      </w:pPr>
      <w:r>
        <w:rPr>
          <w:b/>
          <w:rFonts w:ascii="Calibri" w:hAnsi="Calibri"/>
          <w:sz w:val="22"/>
          <w:color w:val="1A1A1A"/>
        </w:rPr>
        <w:t xml:space="preserve">Solution Engineer — Regional Cloud Services Provider (2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pre-sales cycles for mid-market and enterprise accounts, helping grow the solutions engineering team's supported revenue from $4M to $9M within two fiscal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Developed reusable demo assets and architecture diagrams for Google Cloud and Azure deployments, cutting new-hire ramp time by 30%</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Conducted technical discovery sessions to assess client infrastructure maturity and recommend AI-enabled solutions aligned with data governance and compliance requirements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Responded to 25+ RFPs per year in collaboration with sales and legal teams, maintaining a consistent 55% win rate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Simplified complex microservices and API integration concepts for non-technical executive buyers, earning recognition as a top-rated presenter in annual internal reviews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Built and maintained strong relationships with channel partners and system integrators to expand solution reach across new verticals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Bachelor of Science, Computer Science</w:t>
      </w:r>
    </w:p>
    <w:p>
      <w:pPr>
        <w:spacing w:before="0" w:after="60" w:line="254" w:lineRule="auto"/>
      </w:pPr>
      <w:r>
        <w:rPr>
          <w:rFonts w:ascii="Calibri" w:hAnsi="Calibri"/>
          <w:sz w:val="22"/>
          <w:color w:val="1A1A1A"/>
        </w:rPr>
        <w:t xml:space="preserve">State University — College of Engineering</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CERTIFICATIONS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AWS Certified Solutions Architect – Associate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Microsoft Certified: Azure Solutions Architect Expert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Snowflake SnowPro Core Certification</w:t>
      </w:r>
    </w:p>
    <w:sectPr>
      <w:pgSz w:w="12240" w:h="15840"/>
      <w:pgMar w:top="720" w:right="720" w:bottom="720" w:left="720" w:header="720" w:footer="720" w:gutter="0"/>
    </w:sectPr>
  </w:body>
</w:document>
</file>