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2ac382b1554368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Detail-oriented Systems Administrator with 6+ years of experience managing hybrid on-premises and cloud infrastructure across enterprise and mid-market environments. Proven track record in Windows Server and Linux administration, virtualization, and automation — reducing manual workload and improving system reliability. Skilled in security hardening, patch management, and disaster recovery planning, with a strong commitment to documentation, cross-functional collaboration, and responsive on-call support. Comfortable translating technical concepts for non-technical stakeholders and delivering customer-focused troubleshooting under pressure.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Operating Systems:</w:t>
      </w:r>
      <w:r>
        <w:rPr>
          <w:rFonts w:ascii="Calibri" w:hAnsi="Calibri"/>
          <w:sz w:val="22"/>
          <w:color w:val="1A1A1A"/>
        </w:rPr>
        <w:t xml:space="preserve"> Windows Server (2016/2019/2022), Red Hat Enterprise Linux, Ubuntu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Directory &amp; Network Services:</w:t>
      </w:r>
      <w:r>
        <w:rPr>
          <w:rFonts w:ascii="Calibri" w:hAnsi="Calibri"/>
          <w:sz w:val="22"/>
          <w:color w:val="1A1A1A"/>
        </w:rPr>
        <w:t xml:space="preserve"> Active Directory, DNS, DHCP, Group Policy, TCP/IP, VPN, firewall administration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Virtualization:</w:t>
      </w:r>
      <w:r>
        <w:rPr>
          <w:rFonts w:ascii="Calibri" w:hAnsi="Calibri"/>
          <w:sz w:val="22"/>
          <w:color w:val="1A1A1A"/>
        </w:rPr>
        <w:t xml:space="preserve"> VMware vSphere/ESXi, vCenter, Hyper-V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Automation &amp; Scripting:</w:t>
      </w:r>
      <w:r>
        <w:rPr>
          <w:rFonts w:ascii="Calibri" w:hAnsi="Calibri"/>
          <w:sz w:val="22"/>
          <w:color w:val="1A1A1A"/>
        </w:rPr>
        <w:t xml:space="preserve"> PowerShell, Bash, Python, Ansible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Cloud:</w:t>
      </w:r>
      <w:r>
        <w:rPr>
          <w:rFonts w:ascii="Calibri" w:hAnsi="Calibri"/>
          <w:sz w:val="22"/>
          <w:color w:val="1A1A1A"/>
        </w:rPr>
        <w:t xml:space="preserve"> AWS (EC2, S3, IAM, VPC)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Security:</w:t>
      </w:r>
      <w:r>
        <w:rPr>
          <w:rFonts w:ascii="Calibri" w:hAnsi="Calibri"/>
          <w:sz w:val="22"/>
          <w:color w:val="1A1A1A"/>
        </w:rPr>
        <w:t xml:space="preserve"> Security hardening, STIG compliance, patch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Backup &amp; DR:</w:t>
      </w:r>
      <w:r>
        <w:rPr>
          <w:rFonts w:ascii="Calibri" w:hAnsi="Calibri"/>
          <w:sz w:val="22"/>
          <w:color w:val="1A1A1A"/>
        </w:rPr>
        <w:t xml:space="preserve"> Veeam, Datto, Barracuda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Containers &amp; IaC:</w:t>
      </w:r>
      <w:r>
        <w:rPr>
          <w:rFonts w:ascii="Calibri" w:hAnsi="Calibri"/>
          <w:sz w:val="22"/>
          <w:color w:val="1A1A1A"/>
        </w:rPr>
        <w:t xml:space="preserve"> OpenShift, Ansible playbooks, configuration management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Systems Administrator — Regional Financial Services Firm (2021–Present)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Administer a hybrid environment of 180+ Windows Server and 60+ Red Hat/Ubuntu Linux systems, maintaining 99.7% uptime across production workloads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 VMware vSphere/ESXi clusters via vCenter, supporting 300+ virtual machines; reduced VM provisioning time by 40% through standardized templates and Ansible automation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Enforce Active Directory, DNS, DHCP, and Group Policy configurations across 1,200+ endpoints, reducing policy-related help desk tickets by 28%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PowerShell and Bash scripts to automate routine patching cycles, cutting monthly patch deployment time from 14 hours to under 4 hours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migration of 12 on-premises workloads to AWS, leveraging EC2, S3, and VPC; reduced infrastructure hosting costs by approximately 22%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Implemented STIG-compliant security hardening baselines across Windows and Linux servers, achieving full compliance in advance of annual audit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Veeam-based backup and disaster recovery strategy; successfully executed full DR failover test with RTO under 2 hours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Participated in on-call rotation, averaging sub-30-minute response times for Severity 1 incidents; maintained detailed runbooks for all critical systems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Junior Systems Administrator — Managed IT Services Provider (2019–2021)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administration of multi-tenant Windows Server and Linux environments for 15+ client organizations ranging from 50 to 500 users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Deployed and maintained Hyper-V virtualization environments, consolidating physical hardware and reducing client infrastructure costs by an average of 18%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Configured and managed VPN tunnels, firewall rules, and network segmentation using TCP/IP best practices across client sites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Authored Ansible playbooks to standardize configuration management across client Linux servers, reducing configuration drift incidents by 35%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Administered Datto and Barracuda backup solutions, performing weekly restore tests and maintaining client-specific disaster recovery documentation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with account managers and end users to deliver customer-focused troubleshooting, consistently receiving satisfaction scores above 4.6/5.0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IT Support Technician — Regional Healthcare System (2018–2019)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Provided Tier 1/2 support for 800+ users, resolving hardware, software, and network issues with an average ticket closure time of 1.8 hours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senior administrators with Active Directory user provisioning, Group Policy updates, and Windows patch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Documented recurring issues and authored internal knowledge base articles, reducing repeat ticket volume by 20%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Information Technology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System — College of Engineering and Computing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Microsoft Certified: Windows Server Hybrid Administrator Associate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VMware Certified Professional — Data Center Virtualization (VCP-DCV)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AWS Certified SysOps Administrator – Associate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CompTIA Security+</w:t>
      </w:r>
    </w:p>
    <w:sectPr>
      <w:pgSz w:w="12240" w:h="15840"/>
      <w:pgMar w:top="720" w:right="720" w:bottom="720" w:left="720" w:header="720" w:footer="720" w:gutter="0"/>
    </w:sectPr>
  </w:body>
</w:document>
</file>