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ddd1a50a58745a4"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Results-driven Talent Acquisition Specialist with 5+ years of full-cycle recruitment experience spanning high-volume clinical, healthcare, and corporate roles. Proven track record of building robust candidate pipelines, managing complex requisition loads, and delivering data-driven recruiting outcomes that reduce time-to-fill and improve quality of hire. Skilled in stakeholder management, offer negotiation, and onboarding coordination, with deep familiarity with California employment law and healthcare compliance requirements including HIPAA and background check protocols. Known for representing employer brand with professionalism and building lasting relationships with hiring managers, candidates, and external vendors alike.</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Full-Cycle Recruitment &amp; Pipeline Development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High-Volume &amp; Clinical/Healthcare Hiring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Sourcing: LinkedIn, Indeed, and Niche Job Boards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ATS Management (Workable, Oracle HRIS)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AI Recruiting Technologies &amp; Automation Tools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Offer Negotiation &amp; Closing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Onboarding Coordination &amp; Employee Lifecycle Collaboration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California Employment Law &amp; HIPAA Compliance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Background Check Administration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Recruiting Metrics &amp; Data-Driven Reporting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Vendor &amp; Third-Party Recruitment Coordination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College Recruitment &amp; Campus Outreach</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Requisition Management &amp; Stakeholder Expectation Setting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Interviewing, Scheduling &amp; Candidate Coordination</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Talent Acquisition Specialist — Regional Healthcare System (4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an average active requisition load of 40–55 open roles simultaneously across clinical, administrative, and allied health departments, reducing average time-to-fill from 52 days to 34 days through structured pipeline development and proactive sourcing strategies.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Partnered with department directors and hiring managers to define role requirements, align on candidate profiles, and set realistic stakeholder expectations throughout the recruitment lifecycle.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Administered full background check and credentialing workflows in compliance with HIPAA regulations and California employment law, achieving a 98% pre-employment compliance rate across all hires.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Leveraged LinkedIn Recruiter, Indeed, and AI recruiting technologies to source passive candidates, increasing qualified applicant flow by 30% for hard-to-fill clinical roles including RNs, medical assistants, and behavioral health specialists.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Coordinated onboarding logistics with HR operations and department leads, improving new hire 30-day retention by 12% through proactive communication and structured orientation scheduling.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Maintained accurate requisition data and candidate status records within Workable and Oracle HRIS, generating weekly recruiting metrics dashboards presented to HR leadership.</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relationships with three staffing vendor partners, negotiating agency terms that reduced contingency placement costs by approximately $40,000 annually.</w:t>
      </w:r>
    </w:p>
    <w:p>
      <w:pPr>
        <w:spacing w:before="120" w:after="20" w:line="254" w:lineRule="auto"/>
      </w:pPr>
      <w:r>
        <w:rPr>
          <w:b/>
          <w:rFonts w:ascii="Calibri" w:hAnsi="Calibri"/>
          <w:sz w:val="22"/>
          <w:color w:val="1A1A1A"/>
        </w:rPr>
        <w:t xml:space="preserve">Recruiter — Multi-Site Outpatient Medical Group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Executed high-volume hiring campaigns to staff newly opened clinic locations, filling 80+ positions within a 6-month period while maintaining candidate quality benchmarks and hiring manager satisfaction scores above 4.5/5.</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and led a college recruitment initiative in partnership with two regional university nursing and health sciences programs, building a consistent pipeline of entry-level clinical candidates and reducing reliance on agency placements by 18%.</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Conducted structured behavioral interviews and coordinated panel interview logistics for clinical and non-clinical roles, ensuring a consistent, equitable candidate experience aligned with employer brand standards.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with HR business partners on offer negotiation and closing strategies, achieving an offer acceptance rate of 91% across all roles.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Maintained compliance with California-specific hiring regulations including pay transparency disclosures, ban-the-box requirements, and mandatory background check timing protocols.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Human Resources Management</w:t>
      </w:r>
    </w:p>
    <w:p>
      <w:pPr>
        <w:spacing w:before="0" w:after="60" w:line="254" w:lineRule="auto"/>
      </w:pPr>
      <w:r>
        <w:rPr>
          <w:rFonts w:ascii="Calibri" w:hAnsi="Calibri"/>
          <w:sz w:val="22"/>
          <w:color w:val="1A1A1A"/>
        </w:rPr>
        <w:t xml:space="preserve">State University System — California</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Professional in Human Resources (PHR) — HR Certification Institute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LinkedIn Recruiter Certified (LinkedIn Learning)</w:t>
      </w:r>
    </w:p>
    <w:sectPr>
      <w:pgSz w:w="12240" w:h="15840"/>
      <w:pgMar w:top="720" w:right="720" w:bottom="720" w:left="720" w:header="720" w:footer="720" w:gutter="0"/>
    </w:sectPr>
  </w:body>
</w:document>
</file>