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838114272b42ab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Results-driven Technical Project Manager with 7+ years of experience leading end-to-end project management for complex hardware/software integration initiatives across regulated industries. Proven ability to translate business needs into actionable plans, align cross-functional teams, and deliver projects on time and within budget. Skilled at stakeholder engagement with both technical and non-executive audiences, with a track record of navigating regulatory and compliance requirements while maintaining project momentum. Adept at risk management, requirements gathering, and driving accountability across distributed teams using modern project management tooling.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End-to-End Project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Risk Management &amp; Mitigation Planning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Requirements Gathering &amp; Scope Definition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Budgeting &amp; Cost Control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Scheduling &amp; Resource Allocation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Vendor Management &amp; Contract Oversight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Regulatory/Compliance Adherence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API &amp; UI Integration Projects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UI QA Coordination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Hardware/Software Integration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Cross-Functional Project Delivery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Stakeholder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Azure DevOps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Monday.com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Conflict Resolution &amp; Problem Solving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Senior Technical Project Manager — Enterprise Software &amp; Services Company (4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Owned end-to-end project management for a portfolio of 8–12 concurrent software and hardware integration projects valued at up to $4.2M annually, consistently delivering 93% of milestones on schedule.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requirements gathering sessions with engineering, product, and business stakeholders to translate complex business needs into detailed project plans, reducing scope creep incidents by 30% year-over-year.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vendor relationships across 6+ third-party technology partners, negotiating SLAs and overseeing deliverable quality, cutting vendor-related delays by 22%.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Coordinated UI QA cycles for customer-facing web applications involving REST API integrations, serving as the primary liaison between QA engineers and product owners to resolve defects within sprint timelines.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project schedules, risk registers, and status reporting in Azure DevOps and Monday.com, improving cross-functional visibility and reducing escalations to senior leadership by 40%.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Ensured all project deliverables met applicable regulatory and compliance standards, collaborating with legal and security teams to complete documentation audits ahead of go-live dates.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Technical Project Manager — Mid-Size Financial Technology Firm (2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Delivered a hardware/software integration initiative connecting point-of-sale terminals with a cloud-based payment processing platform, completing the rollout across 200+ client sites 3 weeks ahead of schedule.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and managed project budgets ranging from $500K to $1.8M, tracking actuals against forecasts monthly and flagging variances early to avoid budget overruns.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Facilitated cross-functional collaboration between software engineers, UX designers, compliance officers, and external vendors, resolving competing priorities through structured conflict resolution frameworks.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Conducted stakeholder engagement sessions with both technical teams and C-suite sponsors, producing clear written and verbal communications tailored to each audience.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Implemented a risk management process that identified and mitigated 15 high-priority project risks over an 18-month period, preventing two potential regulatory compliance failures.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Project Coordinator — Regional Healthcare Technology Provider (2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project planning and scheduling for electronic health record (EHR) system upgrades across a network of 12 clinic locations, coordinating activities for teams of up to 20 contributors.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senior project managers with requirements gathering, meeting facilitation, and documentation, developing strong organizational skills and time management practices under tight regulatory deadlines.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Tracked project tasks and dependencies in Monday.com, improving team on-time task completion rates from 71% to 88% within the first six months.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Demonstrated adaptability by managing scope changes introduced by shifting compliance mandates, revising project plans and communicating impacts to stakeholders within 48 hours of change requests.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Science, Information Systems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 — College of Business &amp; Technology</w:t>
      </w:r>
    </w:p>
    <w:sectPr>
      <w:pgSz w:w="12240" w:h="15840"/>
      <w:pgMar w:top="720" w:right="720" w:bottom="720" w:left="720" w:header="720" w:footer="720" w:gutter="0"/>
    </w:sectPr>
  </w:body>
</w:document>
</file>