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53f525976a14439"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Dedicated and adaptable Travel Surgical First Assistant RN with 6+ years of perioperative nursing experience, including consistent travel assignments across diverse acute care settings. Certified Surgical First Assistant (CRNFA) with demonstrated expertise in preoperative patient assessment, intraoperative assistance, and postoperative care management across multiple surgical specialties including orthopedics, general surgery, and cardiovascular procedures. Proven ability to integrate seamlessly into new OR teams, uphold rigorous sterile techniques, and deliver safe, high-quality patient outcomes in fast-paced, high-acuity environments.</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Preoperative Patient Assessment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Intraoperative Assistance &amp; Surgical First Assisting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Postoperative Care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Hemostasis Techniques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Patient Positioning, Prepping &amp; Draping for Surgery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Wound Closure (suturing, stapling, tissue approximation)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Sterile Technique &amp; Aseptic Practice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Perioperative Documentation &amp; Compliance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Multi-specialty OR Adaptability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Rapid Team Integration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BLS &amp; ACLS Certified (AHA)</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Travel Surgical First Assistant RN — Regional Acute Care Hospital System (2021–Present)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Serve as primary surgical first assistant across general, orthopedic, laparoscopic, and robotic-assisted procedures, supporting attending surgeons in facilities ranging from 200- to 500-bed acute care hospitals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 thorough preoperative patient assessments, reviewing medical histories, lab values, and imaging to identify risk factors and communicate findings to the surgical team prior to incision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Execute precise wound closure techniques including layered suturing and stapling, contributing to a facility-reported complication rate consistently below the 3% benchmark across 400+ annual cases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Apply evidence-based hemostasis methods including electrocautery, topical agents, and pressure techniques, reducing intraoperative blood loss events by an estimated 18% compared to prior baseline data at one assignment facility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Position, prep, and drape patients for surgery in strict accordance with sterile technique protocols, maintaining zero sterile-field breach incidents across all travel assignments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 with circulating nurses, scrub technicians, and anesthesia providers to ensure seamless intraoperative workflow and on-time case starts, improving first-case on-time rate by 12% at one 13-week assignment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Provide postoperative care management handoff documentation and verbal reports to PACU nursing staff, ensuring continuity of care and accurate pain and wound status communication</w:t>
      </w:r>
    </w:p>
    <w:p>
      <w:pPr>
        <w:spacing w:before="120" w:after="20" w:line="254" w:lineRule="auto"/>
      </w:pPr>
      <w:r>
        <w:rPr>
          <w:b/>
          <w:rFonts w:ascii="Calibri" w:hAnsi="Calibri"/>
          <w:sz w:val="22"/>
          <w:color w:val="1A1A1A"/>
        </w:rPr>
        <w:t xml:space="preserve">Surgical First Assistant RN — Multi-Specialty Ambulatory Surgery Center (2019–2021)</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600+ annual surgical cases spanning ENT, ophthalmology, plastics, and general surgery in a high-volume outpatient setting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comprehensive preoperative assessments and patient education, reducing day-of-surgery cancellations attributable to incomplete preparation by 22%</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strict sterile technique compliance, contributing to a sustained surgical site infection rate of 0.8%, well below the national ambulatory benchmark of 1.5%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two newly hired perioperative RNs on first-assisting fundamentals, draping protocols, and intraoperative communication best practices</w:t>
      </w:r>
    </w:p>
    <w:p>
      <w:pPr>
        <w:spacing w:before="120" w:after="20" w:line="254" w:lineRule="auto"/>
      </w:pPr>
      <w:r>
        <w:rPr>
          <w:b/>
          <w:rFonts w:ascii="Calibri" w:hAnsi="Calibri"/>
          <w:sz w:val="22"/>
          <w:color w:val="1A1A1A"/>
        </w:rPr>
        <w:t xml:space="preserve">Perioperative RN — Community Hospital Surgical Services Department (2018–2019)</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Rotated through scrub, circulating, and first-assisting roles across general and orthopedic OR suites, building a strong foundation in all phases of perioperative care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with patient positioning, prepping, and draping for surgery on 15–20 cases per week while supporting attending surgeons with retraction, tissue handling, and wound closure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Participated in quality improvement initiative that reduced surgical timeout documentation errors by 30% over a six-month period</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in Nursing (BSN)</w:t>
      </w:r>
    </w:p>
    <w:p>
      <w:pPr>
        <w:spacing w:before="0" w:after="60" w:line="254" w:lineRule="auto"/>
      </w:pPr>
      <w:r>
        <w:rPr>
          <w:rFonts w:ascii="Calibri" w:hAnsi="Calibri"/>
          <w:sz w:val="22"/>
          <w:color w:val="1A1A1A"/>
        </w:rPr>
        <w:t xml:space="preserve">State University College of Nursing</w:t>
      </w: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Registered Nurse First Assistant (CRNFA) — NCCNFA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Basic Life Support (BLS) — American Heart Association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Advanced Cardiovascular Life Support (ACLS) — American Heart Association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Valid Multi-State RN License (Compact) — Current &amp; in good standing</w:t>
      </w:r>
    </w:p>
    <w:sectPr>
      <w:pgSz w:w="12240" w:h="15840"/>
      <w:pgMar w:top="720" w:right="720" w:bottom="720" w:left="720" w:header="720" w:footer="720" w:gutter="0"/>
    </w:sectPr>
  </w:body>
</w:document>
</file>